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117BA" w14:textId="62DCD3CB" w:rsidR="008F0219" w:rsidRPr="00305F6E" w:rsidRDefault="008F0219" w:rsidP="008F0219">
      <w:pPr>
        <w:jc w:val="right"/>
        <w:rPr>
          <w:rFonts w:ascii="Times New Roman" w:hAnsi="Times New Roman" w:cs="Times New Roman"/>
          <w:sz w:val="26"/>
          <w:szCs w:val="26"/>
        </w:rPr>
      </w:pPr>
      <w:r w:rsidRPr="00305F6E">
        <w:rPr>
          <w:rFonts w:ascii="Times New Roman" w:hAnsi="Times New Roman" w:cs="Times New Roman"/>
          <w:sz w:val="26"/>
          <w:szCs w:val="26"/>
        </w:rPr>
        <w:t>Phụ lục 01</w:t>
      </w:r>
      <w:r w:rsidR="00FB453A" w:rsidRPr="00305F6E">
        <w:rPr>
          <w:rFonts w:ascii="Times New Roman" w:hAnsi="Times New Roman" w:cs="Times New Roman"/>
          <w:sz w:val="26"/>
          <w:szCs w:val="26"/>
        </w:rPr>
        <w:t xml:space="preserve"> QT-</w:t>
      </w:r>
      <w:r w:rsidR="0081670E" w:rsidRPr="00305F6E">
        <w:rPr>
          <w:rFonts w:ascii="Times New Roman" w:hAnsi="Times New Roman" w:cs="Times New Roman"/>
          <w:sz w:val="26"/>
          <w:szCs w:val="26"/>
        </w:rPr>
        <w:t>TP</w:t>
      </w:r>
      <w:r w:rsidR="00F20CC3">
        <w:rPr>
          <w:rFonts w:ascii="Times New Roman" w:hAnsi="Times New Roman" w:cs="Times New Roman"/>
          <w:sz w:val="26"/>
          <w:szCs w:val="26"/>
        </w:rPr>
        <w:t>CT</w:t>
      </w:r>
      <w:r w:rsidR="00FB453A" w:rsidRPr="00305F6E">
        <w:rPr>
          <w:rFonts w:ascii="Times New Roman" w:hAnsi="Times New Roman" w:cs="Times New Roman"/>
          <w:sz w:val="26"/>
          <w:szCs w:val="26"/>
        </w:rPr>
        <w:t>-0</w:t>
      </w:r>
      <w:r w:rsidR="0037464B">
        <w:rPr>
          <w:rFonts w:ascii="Times New Roman" w:hAnsi="Times New Roman" w:cs="Times New Roman"/>
          <w:sz w:val="26"/>
          <w:szCs w:val="26"/>
        </w:rPr>
        <w:t>5</w:t>
      </w:r>
    </w:p>
    <w:p w14:paraId="64BA7D9E" w14:textId="1D9C991C" w:rsidR="008F0219" w:rsidRPr="00313B08" w:rsidRDefault="008F0219" w:rsidP="008F0219">
      <w:pPr>
        <w:jc w:val="both"/>
        <w:rPr>
          <w:rFonts w:ascii="Times New Roman" w:hAnsi="Times New Roman" w:cs="Times New Roman"/>
          <w:sz w:val="26"/>
          <w:szCs w:val="26"/>
        </w:rPr>
      </w:pPr>
      <w:r w:rsidRPr="00305F6E">
        <w:rPr>
          <w:rFonts w:ascii="Times New Roman" w:hAnsi="Times New Roman" w:cs="Times New Roman"/>
          <w:sz w:val="26"/>
          <w:szCs w:val="26"/>
        </w:rPr>
        <w:t>C</w:t>
      </w:r>
      <w:r w:rsidR="00CC5D1E">
        <w:rPr>
          <w:rFonts w:ascii="Times New Roman" w:hAnsi="Times New Roman" w:cs="Times New Roman"/>
          <w:sz w:val="26"/>
          <w:szCs w:val="26"/>
        </w:rPr>
        <w:t>ăn cứ</w:t>
      </w:r>
      <w:r w:rsidRPr="00305F6E">
        <w:rPr>
          <w:rFonts w:ascii="Times New Roman" w:hAnsi="Times New Roman" w:cs="Times New Roman"/>
          <w:sz w:val="26"/>
          <w:szCs w:val="26"/>
        </w:rPr>
        <w:t xml:space="preserve"> pháp lý </w:t>
      </w:r>
      <w:r w:rsidR="005D25FC">
        <w:rPr>
          <w:rFonts w:ascii="Times New Roman" w:hAnsi="Times New Roman" w:cs="Times New Roman"/>
          <w:sz w:val="26"/>
          <w:szCs w:val="26"/>
        </w:rPr>
        <w:t xml:space="preserve">thực hiện </w:t>
      </w:r>
      <w:r w:rsidRPr="00305F6E">
        <w:rPr>
          <w:rFonts w:ascii="Times New Roman" w:hAnsi="Times New Roman" w:cs="Times New Roman"/>
          <w:sz w:val="26"/>
          <w:szCs w:val="26"/>
        </w:rPr>
        <w:t>TTHC</w:t>
      </w:r>
      <w:r w:rsidR="00643B5B">
        <w:rPr>
          <w:rFonts w:ascii="Times New Roman" w:hAnsi="Times New Roman" w:cs="Times New Roman"/>
          <w:sz w:val="26"/>
          <w:szCs w:val="26"/>
        </w:rPr>
        <w:t xml:space="preserve"> </w:t>
      </w:r>
      <w:r w:rsidR="00643B5B" w:rsidRPr="00643B5B">
        <w:rPr>
          <w:rFonts w:ascii="Times New Roman" w:hAnsi="Times New Roman" w:cs="Times New Roman"/>
          <w:b/>
          <w:bCs/>
          <w:sz w:val="26"/>
          <w:szCs w:val="26"/>
        </w:rPr>
        <w:t>Chứng thực việc sửa đổi, bổ sung, hủy bỏ hợp đồng, giao dịch</w:t>
      </w:r>
      <w:r w:rsidR="0081670E" w:rsidRPr="00EB6FB8">
        <w:rPr>
          <w:rFonts w:ascii="Times New Roman" w:eastAsia="SimSun" w:hAnsi="Times New Roman" w:cs="Times New Roman"/>
          <w:b/>
          <w:bCs/>
          <w:sz w:val="26"/>
          <w:szCs w:val="26"/>
        </w:rPr>
        <w:t>.</w:t>
      </w: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5"/>
        <w:gridCol w:w="9210"/>
        <w:gridCol w:w="2265"/>
        <w:gridCol w:w="1869"/>
      </w:tblGrid>
      <w:tr w:rsidR="0081670E" w:rsidRPr="0081670E" w14:paraId="586D88C5" w14:textId="77777777" w:rsidTr="00FE6624">
        <w:tc>
          <w:tcPr>
            <w:tcW w:w="705" w:type="dxa"/>
            <w:hideMark/>
          </w:tcPr>
          <w:p w14:paraId="2D0D0921" w14:textId="77777777" w:rsidR="0081670E" w:rsidRPr="0081670E" w:rsidRDefault="0081670E" w:rsidP="0081670E">
            <w:pPr>
              <w:spacing w:before="120" w:after="120" w:line="300" w:lineRule="exact"/>
              <w:jc w:val="center"/>
              <w:rPr>
                <w:rFonts w:ascii="Times New Roman" w:eastAsia="Times New Roman" w:hAnsi="Times New Roman" w:cs="Times New Roman"/>
                <w:b/>
                <w:bCs/>
                <w:noProof w:val="0"/>
                <w:sz w:val="26"/>
                <w:szCs w:val="26"/>
                <w:lang w:eastAsia="fr-FR"/>
              </w:rPr>
            </w:pPr>
            <w:r w:rsidRPr="0081670E">
              <w:rPr>
                <w:rFonts w:ascii="Times New Roman" w:eastAsia="Times New Roman" w:hAnsi="Times New Roman" w:cs="Times New Roman"/>
                <w:b/>
                <w:bCs/>
                <w:noProof w:val="0"/>
                <w:sz w:val="26"/>
                <w:szCs w:val="26"/>
                <w:lang w:eastAsia="fr-FR"/>
              </w:rPr>
              <w:t>STT</w:t>
            </w:r>
          </w:p>
        </w:tc>
        <w:tc>
          <w:tcPr>
            <w:tcW w:w="9210" w:type="dxa"/>
            <w:hideMark/>
          </w:tcPr>
          <w:p w14:paraId="6823F69A" w14:textId="77777777" w:rsidR="0081670E" w:rsidRPr="0081670E" w:rsidRDefault="0081670E" w:rsidP="0081670E">
            <w:pPr>
              <w:spacing w:before="120" w:after="120" w:line="300" w:lineRule="exact"/>
              <w:jc w:val="center"/>
              <w:rPr>
                <w:rFonts w:ascii="Times New Roman" w:eastAsia="Times New Roman" w:hAnsi="Times New Roman" w:cs="Times New Roman"/>
                <w:b/>
                <w:bCs/>
                <w:noProof w:val="0"/>
                <w:sz w:val="26"/>
                <w:szCs w:val="26"/>
                <w:lang w:eastAsia="fr-FR"/>
              </w:rPr>
            </w:pPr>
            <w:r w:rsidRPr="0081670E">
              <w:rPr>
                <w:rFonts w:ascii="Times New Roman" w:eastAsia="Times New Roman" w:hAnsi="Times New Roman" w:cs="Times New Roman"/>
                <w:b/>
                <w:bCs/>
                <w:noProof w:val="0"/>
                <w:sz w:val="26"/>
                <w:szCs w:val="26"/>
                <w:lang w:eastAsia="fr-FR"/>
              </w:rPr>
              <w:t>Tên văn bản</w:t>
            </w:r>
          </w:p>
        </w:tc>
        <w:tc>
          <w:tcPr>
            <w:tcW w:w="2265" w:type="dxa"/>
            <w:hideMark/>
          </w:tcPr>
          <w:p w14:paraId="46B853F4" w14:textId="77777777" w:rsidR="0081670E" w:rsidRPr="0081670E" w:rsidRDefault="0081670E" w:rsidP="0081670E">
            <w:pPr>
              <w:spacing w:before="120" w:after="120" w:line="300" w:lineRule="exact"/>
              <w:jc w:val="center"/>
              <w:rPr>
                <w:rFonts w:ascii="Times New Roman" w:eastAsia="Times New Roman" w:hAnsi="Times New Roman" w:cs="Times New Roman"/>
                <w:b/>
                <w:bCs/>
                <w:noProof w:val="0"/>
                <w:sz w:val="26"/>
                <w:szCs w:val="26"/>
                <w:lang w:eastAsia="fr-FR"/>
              </w:rPr>
            </w:pPr>
            <w:r w:rsidRPr="0081670E">
              <w:rPr>
                <w:rFonts w:ascii="Times New Roman" w:eastAsia="Times New Roman" w:hAnsi="Times New Roman" w:cs="Times New Roman"/>
                <w:b/>
                <w:bCs/>
                <w:noProof w:val="0"/>
                <w:sz w:val="26"/>
                <w:szCs w:val="26"/>
                <w:lang w:eastAsia="fr-FR"/>
              </w:rPr>
              <w:t>Hiệu lực văn bản</w:t>
            </w:r>
          </w:p>
        </w:tc>
        <w:tc>
          <w:tcPr>
            <w:tcW w:w="1869" w:type="dxa"/>
            <w:hideMark/>
          </w:tcPr>
          <w:p w14:paraId="28798199" w14:textId="77777777" w:rsidR="0081670E" w:rsidRPr="0081670E" w:rsidRDefault="0081670E" w:rsidP="0081670E">
            <w:pPr>
              <w:spacing w:before="120" w:after="120" w:line="300" w:lineRule="exact"/>
              <w:jc w:val="center"/>
              <w:rPr>
                <w:rFonts w:ascii="Times New Roman" w:eastAsia="Times New Roman" w:hAnsi="Times New Roman" w:cs="Times New Roman"/>
                <w:b/>
                <w:bCs/>
                <w:noProof w:val="0"/>
                <w:sz w:val="26"/>
                <w:szCs w:val="26"/>
                <w:lang w:eastAsia="fr-FR"/>
              </w:rPr>
            </w:pPr>
            <w:r w:rsidRPr="0081670E">
              <w:rPr>
                <w:rFonts w:ascii="Times New Roman" w:eastAsia="Times New Roman" w:hAnsi="Times New Roman" w:cs="Times New Roman"/>
                <w:b/>
                <w:bCs/>
                <w:noProof w:val="0"/>
                <w:sz w:val="26"/>
                <w:szCs w:val="26"/>
                <w:lang w:eastAsia="fr-FR"/>
              </w:rPr>
              <w:t>Ghi chú</w:t>
            </w:r>
          </w:p>
        </w:tc>
      </w:tr>
      <w:tr w:rsidR="0081670E" w:rsidRPr="0081670E" w14:paraId="119E0C84" w14:textId="77777777" w:rsidTr="00E77CFF">
        <w:tc>
          <w:tcPr>
            <w:tcW w:w="705" w:type="dxa"/>
            <w:vAlign w:val="center"/>
            <w:hideMark/>
          </w:tcPr>
          <w:p w14:paraId="7D24E4A0" w14:textId="77777777" w:rsidR="0081670E" w:rsidRPr="0081670E" w:rsidRDefault="0081670E" w:rsidP="00E77CFF">
            <w:pPr>
              <w:numPr>
                <w:ilvl w:val="0"/>
                <w:numId w:val="1"/>
              </w:numPr>
              <w:spacing w:before="120" w:after="120" w:line="300" w:lineRule="exact"/>
              <w:jc w:val="center"/>
              <w:rPr>
                <w:rFonts w:ascii="Times New Roman" w:eastAsia="Times New Roman" w:hAnsi="Times New Roman" w:cs="Times New Roman"/>
                <w:noProof w:val="0"/>
                <w:sz w:val="26"/>
                <w:szCs w:val="26"/>
                <w:lang w:eastAsia="fr-FR"/>
              </w:rPr>
            </w:pPr>
          </w:p>
        </w:tc>
        <w:tc>
          <w:tcPr>
            <w:tcW w:w="9210" w:type="dxa"/>
          </w:tcPr>
          <w:p w14:paraId="0B63C005" w14:textId="00D47F4D" w:rsidR="0081670E" w:rsidRPr="0081670E" w:rsidRDefault="002D680D" w:rsidP="0081670E">
            <w:pPr>
              <w:autoSpaceDE w:val="0"/>
              <w:autoSpaceDN w:val="0"/>
              <w:adjustRightInd w:val="0"/>
              <w:spacing w:before="120" w:after="120" w:line="300" w:lineRule="exact"/>
              <w:jc w:val="both"/>
              <w:rPr>
                <w:rFonts w:ascii="Times New Roman" w:eastAsia="Times New Roman" w:hAnsi="Times New Roman" w:cs="Times New Roman"/>
                <w:noProof w:val="0"/>
                <w:sz w:val="26"/>
                <w:szCs w:val="26"/>
                <w:lang w:eastAsia="fr-FR"/>
              </w:rPr>
            </w:pPr>
            <w:r w:rsidRPr="002D680D">
              <w:rPr>
                <w:rFonts w:ascii="Times New Roman" w:eastAsia="Times New Roman" w:hAnsi="Times New Roman" w:cs="Times New Roman"/>
                <w:noProof w:val="0"/>
                <w:sz w:val="26"/>
                <w:szCs w:val="26"/>
                <w:lang w:eastAsia="fr-FR"/>
              </w:rPr>
              <w:t>Nghị định số 23/2015/NĐ-CP ngày 16/02/2015 của Chính phủ về cấp bản sao từ bản chính, chứng thực chữ ký và chứng thực hợp đồng, giao dịch</w:t>
            </w:r>
            <w:r>
              <w:rPr>
                <w:rFonts w:ascii="Times New Roman" w:eastAsia="Times New Roman" w:hAnsi="Times New Roman" w:cs="Times New Roman"/>
                <w:noProof w:val="0"/>
                <w:sz w:val="26"/>
                <w:szCs w:val="26"/>
                <w:lang w:eastAsia="fr-FR"/>
              </w:rPr>
              <w:t>.</w:t>
            </w:r>
          </w:p>
        </w:tc>
        <w:tc>
          <w:tcPr>
            <w:tcW w:w="2265" w:type="dxa"/>
            <w:vAlign w:val="center"/>
            <w:hideMark/>
          </w:tcPr>
          <w:p w14:paraId="0CCA36E4" w14:textId="77777777" w:rsidR="0081670E" w:rsidRPr="0081670E" w:rsidRDefault="0081670E" w:rsidP="0081670E">
            <w:pPr>
              <w:spacing w:before="120" w:after="120" w:line="300" w:lineRule="exact"/>
              <w:jc w:val="center"/>
              <w:rPr>
                <w:rFonts w:ascii="Times New Roman" w:eastAsia="Times New Roman" w:hAnsi="Times New Roman" w:cs="Times New Roman"/>
                <w:noProof w:val="0"/>
                <w:sz w:val="26"/>
                <w:szCs w:val="26"/>
                <w:lang w:eastAsia="fr-FR"/>
              </w:rPr>
            </w:pPr>
            <w:r w:rsidRPr="0081670E">
              <w:rPr>
                <w:rFonts w:ascii="Times New Roman" w:eastAsia="Times New Roman" w:hAnsi="Times New Roman" w:cs="Times New Roman"/>
                <w:noProof w:val="0"/>
                <w:sz w:val="26"/>
                <w:szCs w:val="26"/>
                <w:lang w:eastAsia="fr-FR"/>
              </w:rPr>
              <w:t>Đang có hiệu lực</w:t>
            </w:r>
          </w:p>
        </w:tc>
        <w:tc>
          <w:tcPr>
            <w:tcW w:w="1869" w:type="dxa"/>
          </w:tcPr>
          <w:p w14:paraId="44A88FB6" w14:textId="77777777" w:rsidR="0081670E" w:rsidRPr="0081670E" w:rsidRDefault="0081670E" w:rsidP="0081670E">
            <w:pPr>
              <w:spacing w:before="120" w:after="120" w:line="300" w:lineRule="exact"/>
              <w:rPr>
                <w:rFonts w:ascii="Times New Roman" w:eastAsia="Times New Roman" w:hAnsi="Times New Roman" w:cs="Times New Roman"/>
                <w:i/>
                <w:iCs/>
                <w:noProof w:val="0"/>
                <w:sz w:val="26"/>
                <w:szCs w:val="26"/>
                <w:lang w:eastAsia="fr-FR"/>
              </w:rPr>
            </w:pPr>
          </w:p>
        </w:tc>
      </w:tr>
      <w:tr w:rsidR="0081670E" w:rsidRPr="0081670E" w14:paraId="76115DC1" w14:textId="77777777" w:rsidTr="00E77CFF">
        <w:tc>
          <w:tcPr>
            <w:tcW w:w="705" w:type="dxa"/>
            <w:vAlign w:val="center"/>
            <w:hideMark/>
          </w:tcPr>
          <w:p w14:paraId="7752DDCB" w14:textId="77777777" w:rsidR="0081670E" w:rsidRPr="0081670E" w:rsidRDefault="0081670E" w:rsidP="00E77CFF">
            <w:pPr>
              <w:numPr>
                <w:ilvl w:val="0"/>
                <w:numId w:val="1"/>
              </w:numPr>
              <w:spacing w:before="120" w:after="120" w:line="300" w:lineRule="exact"/>
              <w:jc w:val="center"/>
              <w:rPr>
                <w:rFonts w:ascii="Times New Roman" w:eastAsia="Times New Roman" w:hAnsi="Times New Roman" w:cs="Times New Roman"/>
                <w:noProof w:val="0"/>
                <w:sz w:val="26"/>
                <w:szCs w:val="26"/>
                <w:lang w:eastAsia="fr-FR"/>
              </w:rPr>
            </w:pPr>
          </w:p>
        </w:tc>
        <w:tc>
          <w:tcPr>
            <w:tcW w:w="9210" w:type="dxa"/>
          </w:tcPr>
          <w:p w14:paraId="4113BDA4" w14:textId="1A0F3945" w:rsidR="0081670E" w:rsidRPr="0081670E" w:rsidRDefault="002D680D" w:rsidP="0081670E">
            <w:pPr>
              <w:spacing w:before="120" w:after="120" w:line="300" w:lineRule="exact"/>
              <w:jc w:val="both"/>
              <w:rPr>
                <w:rFonts w:ascii="Times New Roman" w:eastAsia="Times New Roman" w:hAnsi="Times New Roman" w:cs="Times New Roman"/>
                <w:noProof w:val="0"/>
                <w:sz w:val="26"/>
                <w:szCs w:val="26"/>
                <w:lang w:eastAsia="fr-FR"/>
              </w:rPr>
            </w:pPr>
            <w:r w:rsidRPr="002D680D">
              <w:rPr>
                <w:rFonts w:ascii="Times New Roman" w:eastAsia="Times New Roman" w:hAnsi="Times New Roman" w:cs="Times New Roman"/>
                <w:noProof w:val="0"/>
                <w:sz w:val="26"/>
                <w:szCs w:val="26"/>
                <w:lang w:eastAsia="fr-FR"/>
              </w:rPr>
              <w:t>Thông tư số 20/2015/TT-BTP ngày 29 tháng 12 năm 2015 của Bộ Tư pháp quy định chi tiết và hướng dẫn thi hành một số điều của nghị đinh số 23/2015/nđ-cp ngày 16 tháng 02 năm 2015 của chính phủ về cấp bản sao từ sổ gốc, chứng thực bản sao từ bản chính, chứng thực chữ ký và chứng thực hợp đồng, giao dịch</w:t>
            </w:r>
            <w:r>
              <w:rPr>
                <w:rFonts w:ascii="Times New Roman" w:eastAsia="Times New Roman" w:hAnsi="Times New Roman" w:cs="Times New Roman"/>
                <w:noProof w:val="0"/>
                <w:sz w:val="26"/>
                <w:szCs w:val="26"/>
                <w:lang w:eastAsia="fr-FR"/>
              </w:rPr>
              <w:t>.</w:t>
            </w:r>
          </w:p>
        </w:tc>
        <w:tc>
          <w:tcPr>
            <w:tcW w:w="2265" w:type="dxa"/>
            <w:vAlign w:val="center"/>
            <w:hideMark/>
          </w:tcPr>
          <w:p w14:paraId="2D5F1106" w14:textId="77777777" w:rsidR="0081670E" w:rsidRPr="0081670E" w:rsidRDefault="0081670E" w:rsidP="0081670E">
            <w:pPr>
              <w:spacing w:before="120" w:after="120" w:line="300" w:lineRule="exact"/>
              <w:jc w:val="center"/>
              <w:rPr>
                <w:rFonts w:ascii="Times New Roman" w:eastAsia="Times New Roman" w:hAnsi="Times New Roman" w:cs="Times New Roman"/>
                <w:noProof w:val="0"/>
                <w:sz w:val="26"/>
                <w:szCs w:val="26"/>
                <w:lang w:eastAsia="fr-FR"/>
              </w:rPr>
            </w:pPr>
            <w:r w:rsidRPr="0081670E">
              <w:rPr>
                <w:rFonts w:ascii="Times New Roman" w:eastAsia="Times New Roman" w:hAnsi="Times New Roman" w:cs="Times New Roman"/>
                <w:noProof w:val="0"/>
                <w:sz w:val="26"/>
                <w:szCs w:val="26"/>
                <w:lang w:eastAsia="fr-FR"/>
              </w:rPr>
              <w:t>Đang có hiệu lực</w:t>
            </w:r>
          </w:p>
        </w:tc>
        <w:tc>
          <w:tcPr>
            <w:tcW w:w="1869" w:type="dxa"/>
          </w:tcPr>
          <w:p w14:paraId="331CE1DB" w14:textId="77777777" w:rsidR="0081670E" w:rsidRPr="0081670E" w:rsidRDefault="0081670E" w:rsidP="0081670E">
            <w:pPr>
              <w:spacing w:before="120" w:after="120" w:line="300" w:lineRule="exact"/>
              <w:rPr>
                <w:rFonts w:ascii="Times New Roman" w:eastAsia="Times New Roman" w:hAnsi="Times New Roman" w:cs="Times New Roman"/>
                <w:i/>
                <w:iCs/>
                <w:noProof w:val="0"/>
                <w:sz w:val="26"/>
                <w:szCs w:val="26"/>
                <w:lang w:eastAsia="fr-FR"/>
              </w:rPr>
            </w:pPr>
          </w:p>
        </w:tc>
      </w:tr>
      <w:tr w:rsidR="0081670E" w:rsidRPr="0081670E" w14:paraId="26BF66B9" w14:textId="77777777" w:rsidTr="00E77CFF">
        <w:tc>
          <w:tcPr>
            <w:tcW w:w="705" w:type="dxa"/>
            <w:vAlign w:val="center"/>
            <w:hideMark/>
          </w:tcPr>
          <w:p w14:paraId="1346B518" w14:textId="77777777" w:rsidR="0081670E" w:rsidRPr="0081670E" w:rsidRDefault="0081670E" w:rsidP="00E77CFF">
            <w:pPr>
              <w:numPr>
                <w:ilvl w:val="0"/>
                <w:numId w:val="1"/>
              </w:numPr>
              <w:spacing w:before="120" w:after="120" w:line="300" w:lineRule="exact"/>
              <w:jc w:val="center"/>
              <w:rPr>
                <w:rFonts w:ascii="Times New Roman" w:eastAsia="Times New Roman" w:hAnsi="Times New Roman" w:cs="Times New Roman"/>
                <w:noProof w:val="0"/>
                <w:sz w:val="26"/>
                <w:szCs w:val="26"/>
                <w:lang w:eastAsia="fr-FR"/>
              </w:rPr>
            </w:pPr>
          </w:p>
        </w:tc>
        <w:tc>
          <w:tcPr>
            <w:tcW w:w="9210" w:type="dxa"/>
          </w:tcPr>
          <w:p w14:paraId="1A9E167D" w14:textId="6A346E24" w:rsidR="0081670E" w:rsidRPr="0081670E" w:rsidRDefault="00DD4A8E" w:rsidP="0081670E">
            <w:pPr>
              <w:spacing w:before="120" w:after="120" w:line="300" w:lineRule="exact"/>
              <w:jc w:val="both"/>
              <w:rPr>
                <w:rFonts w:ascii="Times New Roman" w:eastAsia="Times New Roman" w:hAnsi="Times New Roman" w:cs="Times New Roman"/>
                <w:noProof w:val="0"/>
                <w:sz w:val="26"/>
                <w:szCs w:val="26"/>
                <w:lang w:eastAsia="fr-FR"/>
              </w:rPr>
            </w:pPr>
            <w:r w:rsidRPr="00DD4A8E">
              <w:rPr>
                <w:rFonts w:ascii="Times New Roman" w:eastAsia="Times New Roman" w:hAnsi="Times New Roman" w:cs="Times New Roman"/>
                <w:noProof w:val="0"/>
                <w:sz w:val="26"/>
                <w:szCs w:val="26"/>
                <w:lang w:eastAsia="fr-FR"/>
              </w:rPr>
              <w:t>Thông tư số 226/2016/TT-BTC ngày 11 tháng 11 năm 2016 của Bộ Tài chính quy định mức thu, chế độ thu, nộp và quản lý lệ phí chứng thực.</w:t>
            </w:r>
          </w:p>
        </w:tc>
        <w:tc>
          <w:tcPr>
            <w:tcW w:w="2265" w:type="dxa"/>
            <w:vAlign w:val="center"/>
            <w:hideMark/>
          </w:tcPr>
          <w:p w14:paraId="3DD178CD" w14:textId="77777777" w:rsidR="0081670E" w:rsidRPr="0081670E" w:rsidRDefault="0081670E" w:rsidP="0081670E">
            <w:pPr>
              <w:spacing w:before="120" w:after="120" w:line="300" w:lineRule="exact"/>
              <w:jc w:val="center"/>
              <w:rPr>
                <w:rFonts w:ascii="Times New Roman" w:eastAsia="Times New Roman" w:hAnsi="Times New Roman" w:cs="Times New Roman"/>
                <w:noProof w:val="0"/>
                <w:sz w:val="26"/>
                <w:szCs w:val="26"/>
                <w:lang w:eastAsia="fr-FR"/>
              </w:rPr>
            </w:pPr>
            <w:r w:rsidRPr="0081670E">
              <w:rPr>
                <w:rFonts w:ascii="Times New Roman" w:eastAsia="Times New Roman" w:hAnsi="Times New Roman" w:cs="Times New Roman"/>
                <w:noProof w:val="0"/>
                <w:sz w:val="26"/>
                <w:szCs w:val="26"/>
                <w:lang w:eastAsia="fr-FR"/>
              </w:rPr>
              <w:t>Đang có hiệu lực</w:t>
            </w:r>
          </w:p>
        </w:tc>
        <w:tc>
          <w:tcPr>
            <w:tcW w:w="1869" w:type="dxa"/>
          </w:tcPr>
          <w:p w14:paraId="28141D93" w14:textId="77777777" w:rsidR="0081670E" w:rsidRPr="0081670E" w:rsidRDefault="0081670E" w:rsidP="0081670E">
            <w:pPr>
              <w:spacing w:before="120" w:after="120" w:line="300" w:lineRule="exact"/>
              <w:rPr>
                <w:rFonts w:ascii="Times New Roman" w:eastAsia="Times New Roman" w:hAnsi="Times New Roman" w:cs="Times New Roman"/>
                <w:i/>
                <w:iCs/>
                <w:noProof w:val="0"/>
                <w:sz w:val="26"/>
                <w:szCs w:val="26"/>
                <w:lang w:eastAsia="fr-FR"/>
              </w:rPr>
            </w:pPr>
          </w:p>
        </w:tc>
      </w:tr>
      <w:tr w:rsidR="0081670E" w:rsidRPr="0081670E" w14:paraId="77F48FCC" w14:textId="77777777" w:rsidTr="00E77CFF">
        <w:tc>
          <w:tcPr>
            <w:tcW w:w="705" w:type="dxa"/>
            <w:vAlign w:val="center"/>
            <w:hideMark/>
          </w:tcPr>
          <w:p w14:paraId="17D48447" w14:textId="77777777" w:rsidR="0081670E" w:rsidRPr="0081670E" w:rsidRDefault="0081670E" w:rsidP="00E77CFF">
            <w:pPr>
              <w:numPr>
                <w:ilvl w:val="0"/>
                <w:numId w:val="1"/>
              </w:numPr>
              <w:spacing w:before="120" w:after="120" w:line="300" w:lineRule="exact"/>
              <w:jc w:val="center"/>
              <w:rPr>
                <w:rFonts w:ascii="Times New Roman" w:eastAsia="Times New Roman" w:hAnsi="Times New Roman" w:cs="Times New Roman"/>
                <w:noProof w:val="0"/>
                <w:sz w:val="26"/>
                <w:szCs w:val="26"/>
                <w:lang w:eastAsia="fr-FR"/>
              </w:rPr>
            </w:pPr>
          </w:p>
        </w:tc>
        <w:tc>
          <w:tcPr>
            <w:tcW w:w="9210" w:type="dxa"/>
          </w:tcPr>
          <w:p w14:paraId="4EE34CB1" w14:textId="2EBA3EE5" w:rsidR="0081670E" w:rsidRPr="0081670E" w:rsidRDefault="00DD4A8E" w:rsidP="0081670E">
            <w:pPr>
              <w:spacing w:before="120" w:after="120" w:line="300" w:lineRule="exact"/>
              <w:jc w:val="both"/>
              <w:rPr>
                <w:rFonts w:ascii="Times New Roman" w:eastAsia="Times New Roman" w:hAnsi="Times New Roman" w:cs="Times New Roman"/>
                <w:noProof w:val="0"/>
                <w:sz w:val="26"/>
                <w:szCs w:val="26"/>
                <w:lang w:eastAsia="fr-FR"/>
              </w:rPr>
            </w:pPr>
            <w:r w:rsidRPr="00DD4A8E">
              <w:rPr>
                <w:rFonts w:ascii="Times New Roman" w:eastAsia="Times New Roman" w:hAnsi="Times New Roman" w:cs="Times New Roman"/>
                <w:noProof w:val="0"/>
                <w:sz w:val="26"/>
                <w:szCs w:val="26"/>
                <w:lang w:eastAsia="fr-FR"/>
              </w:rPr>
              <w:t>Thông tư số 236/2009/TT-BTC ngày 15/12/2009 của Bộ Tài chính Hướng dẫn chế độ thu, nộp, quản lý và sử dụng phí và lệ phí lãnh sự áp dụng tại các Cơ quan đại diện ngoại giao, Cơ quan đại diện lãnh sự Việt Nam ở nước ngoài</w:t>
            </w:r>
            <w:r>
              <w:rPr>
                <w:rFonts w:ascii="Times New Roman" w:eastAsia="Times New Roman" w:hAnsi="Times New Roman" w:cs="Times New Roman"/>
                <w:noProof w:val="0"/>
                <w:sz w:val="26"/>
                <w:szCs w:val="26"/>
                <w:lang w:eastAsia="fr-FR"/>
              </w:rPr>
              <w:t>.</w:t>
            </w:r>
          </w:p>
        </w:tc>
        <w:tc>
          <w:tcPr>
            <w:tcW w:w="2265" w:type="dxa"/>
            <w:vAlign w:val="center"/>
            <w:hideMark/>
          </w:tcPr>
          <w:p w14:paraId="01020549" w14:textId="77777777" w:rsidR="0081670E" w:rsidRPr="0081670E" w:rsidRDefault="0081670E" w:rsidP="0081670E">
            <w:pPr>
              <w:spacing w:before="120" w:after="120" w:line="300" w:lineRule="exact"/>
              <w:jc w:val="center"/>
              <w:rPr>
                <w:rFonts w:ascii="Times New Roman" w:eastAsia="Times New Roman" w:hAnsi="Times New Roman" w:cs="Times New Roman"/>
                <w:noProof w:val="0"/>
                <w:sz w:val="26"/>
                <w:szCs w:val="26"/>
                <w:lang w:eastAsia="fr-FR"/>
              </w:rPr>
            </w:pPr>
            <w:r w:rsidRPr="0081670E">
              <w:rPr>
                <w:rFonts w:ascii="Times New Roman" w:eastAsia="Times New Roman" w:hAnsi="Times New Roman" w:cs="Times New Roman"/>
                <w:noProof w:val="0"/>
                <w:sz w:val="26"/>
                <w:szCs w:val="26"/>
                <w:lang w:eastAsia="fr-FR"/>
              </w:rPr>
              <w:t>Đang có hiệu lực</w:t>
            </w:r>
          </w:p>
        </w:tc>
        <w:tc>
          <w:tcPr>
            <w:tcW w:w="1869" w:type="dxa"/>
            <w:hideMark/>
          </w:tcPr>
          <w:p w14:paraId="459172F9" w14:textId="77777777" w:rsidR="0081670E" w:rsidRPr="0081670E" w:rsidRDefault="0081670E" w:rsidP="0081670E">
            <w:pPr>
              <w:spacing w:before="120" w:after="120" w:line="300" w:lineRule="exact"/>
              <w:rPr>
                <w:rFonts w:ascii="Times New Roman" w:eastAsia="Times New Roman" w:hAnsi="Times New Roman" w:cs="Times New Roman"/>
                <w:i/>
                <w:iCs/>
                <w:noProof w:val="0"/>
                <w:sz w:val="26"/>
                <w:szCs w:val="26"/>
                <w:lang w:eastAsia="fr-FR"/>
              </w:rPr>
            </w:pPr>
          </w:p>
        </w:tc>
      </w:tr>
      <w:tr w:rsidR="00FE6624" w:rsidRPr="0081670E" w14:paraId="347167F0" w14:textId="77777777" w:rsidTr="00E77CFF">
        <w:tc>
          <w:tcPr>
            <w:tcW w:w="705" w:type="dxa"/>
            <w:vAlign w:val="center"/>
          </w:tcPr>
          <w:p w14:paraId="2C2EFC52" w14:textId="77777777" w:rsidR="00FE6624" w:rsidRPr="0081670E" w:rsidRDefault="00FE6624" w:rsidP="00E77CFF">
            <w:pPr>
              <w:numPr>
                <w:ilvl w:val="0"/>
                <w:numId w:val="1"/>
              </w:numPr>
              <w:spacing w:before="120" w:after="120" w:line="300" w:lineRule="exact"/>
              <w:jc w:val="center"/>
              <w:rPr>
                <w:rFonts w:ascii="Times New Roman" w:eastAsia="Times New Roman" w:hAnsi="Times New Roman" w:cs="Times New Roman"/>
                <w:noProof w:val="0"/>
                <w:sz w:val="26"/>
                <w:szCs w:val="26"/>
                <w:lang w:eastAsia="fr-FR"/>
              </w:rPr>
            </w:pPr>
          </w:p>
        </w:tc>
        <w:tc>
          <w:tcPr>
            <w:tcW w:w="9210" w:type="dxa"/>
          </w:tcPr>
          <w:p w14:paraId="2192945B" w14:textId="6E38D7B0" w:rsidR="00FE6624" w:rsidRPr="00FE6624" w:rsidRDefault="00DD4A8E" w:rsidP="0081670E">
            <w:pPr>
              <w:spacing w:before="120" w:after="120" w:line="300" w:lineRule="exact"/>
              <w:jc w:val="both"/>
              <w:rPr>
                <w:rFonts w:ascii="Times New Roman" w:eastAsia="Times New Roman" w:hAnsi="Times New Roman" w:cs="Times New Roman"/>
                <w:noProof w:val="0"/>
                <w:sz w:val="26"/>
                <w:szCs w:val="26"/>
                <w:lang w:eastAsia="fr-FR"/>
              </w:rPr>
            </w:pPr>
            <w:r w:rsidRPr="00DD4A8E">
              <w:rPr>
                <w:rFonts w:ascii="Times New Roman" w:eastAsia="Times New Roman" w:hAnsi="Times New Roman" w:cs="Times New Roman"/>
                <w:noProof w:val="0"/>
                <w:sz w:val="26"/>
                <w:szCs w:val="26"/>
                <w:lang w:eastAsia="fr-FR"/>
              </w:rPr>
              <w:t>Quyết định số 1088/QĐ-BTP ngày 18/5/2016 về việc công bố TTHC sửa đổi trong lĩnhvực  chứng thực thuộc phạm vi chức năng của Bộ Tư pháp</w:t>
            </w:r>
            <w:r>
              <w:rPr>
                <w:rFonts w:ascii="Times New Roman" w:eastAsia="Times New Roman" w:hAnsi="Times New Roman" w:cs="Times New Roman"/>
                <w:noProof w:val="0"/>
                <w:sz w:val="26"/>
                <w:szCs w:val="26"/>
                <w:lang w:eastAsia="fr-FR"/>
              </w:rPr>
              <w:t>.</w:t>
            </w:r>
          </w:p>
        </w:tc>
        <w:tc>
          <w:tcPr>
            <w:tcW w:w="2265" w:type="dxa"/>
            <w:vAlign w:val="center"/>
          </w:tcPr>
          <w:p w14:paraId="0F52343D" w14:textId="7A571268" w:rsidR="00FE6624" w:rsidRPr="0081670E" w:rsidRDefault="00FE6624" w:rsidP="0081670E">
            <w:pPr>
              <w:spacing w:before="120" w:after="120" w:line="300" w:lineRule="exact"/>
              <w:jc w:val="center"/>
              <w:rPr>
                <w:rFonts w:ascii="Times New Roman" w:eastAsia="Times New Roman" w:hAnsi="Times New Roman" w:cs="Times New Roman"/>
                <w:noProof w:val="0"/>
                <w:sz w:val="26"/>
                <w:szCs w:val="26"/>
                <w:lang w:eastAsia="fr-FR"/>
              </w:rPr>
            </w:pPr>
            <w:r w:rsidRPr="0081670E">
              <w:rPr>
                <w:rFonts w:ascii="Times New Roman" w:eastAsia="Times New Roman" w:hAnsi="Times New Roman" w:cs="Times New Roman"/>
                <w:noProof w:val="0"/>
                <w:sz w:val="26"/>
                <w:szCs w:val="26"/>
                <w:lang w:eastAsia="fr-FR"/>
              </w:rPr>
              <w:t>Đang có hiệu lực</w:t>
            </w:r>
          </w:p>
        </w:tc>
        <w:tc>
          <w:tcPr>
            <w:tcW w:w="1869" w:type="dxa"/>
          </w:tcPr>
          <w:p w14:paraId="5FAABF15" w14:textId="77777777" w:rsidR="00FE6624" w:rsidRPr="0081670E" w:rsidRDefault="00FE6624" w:rsidP="0081670E">
            <w:pPr>
              <w:spacing w:before="120" w:after="120" w:line="300" w:lineRule="exact"/>
              <w:rPr>
                <w:rFonts w:ascii="Times New Roman" w:eastAsia="Times New Roman" w:hAnsi="Times New Roman" w:cs="Times New Roman"/>
                <w:i/>
                <w:iCs/>
                <w:noProof w:val="0"/>
                <w:sz w:val="26"/>
                <w:szCs w:val="26"/>
                <w:lang w:eastAsia="fr-FR"/>
              </w:rPr>
            </w:pPr>
          </w:p>
        </w:tc>
      </w:tr>
      <w:tr w:rsidR="00FE6624" w:rsidRPr="0081670E" w14:paraId="3AAE2B47" w14:textId="77777777" w:rsidTr="00E77CFF">
        <w:tc>
          <w:tcPr>
            <w:tcW w:w="705" w:type="dxa"/>
            <w:vAlign w:val="center"/>
          </w:tcPr>
          <w:p w14:paraId="5FA2E3A7" w14:textId="77777777" w:rsidR="00FE6624" w:rsidRPr="0081670E" w:rsidRDefault="00FE6624" w:rsidP="00E77CFF">
            <w:pPr>
              <w:numPr>
                <w:ilvl w:val="0"/>
                <w:numId w:val="1"/>
              </w:numPr>
              <w:spacing w:before="120" w:after="120" w:line="300" w:lineRule="exact"/>
              <w:jc w:val="center"/>
              <w:rPr>
                <w:rFonts w:ascii="Times New Roman" w:eastAsia="Times New Roman" w:hAnsi="Times New Roman" w:cs="Times New Roman"/>
                <w:noProof w:val="0"/>
                <w:sz w:val="26"/>
                <w:szCs w:val="26"/>
                <w:lang w:eastAsia="fr-FR"/>
              </w:rPr>
            </w:pPr>
          </w:p>
        </w:tc>
        <w:tc>
          <w:tcPr>
            <w:tcW w:w="9210" w:type="dxa"/>
          </w:tcPr>
          <w:p w14:paraId="07045B42" w14:textId="5FC5B60B" w:rsidR="00FE6624" w:rsidRPr="00FE6624" w:rsidRDefault="00C16CB9" w:rsidP="0081670E">
            <w:pPr>
              <w:spacing w:before="120" w:after="120" w:line="300" w:lineRule="exact"/>
              <w:jc w:val="both"/>
              <w:rPr>
                <w:rFonts w:ascii="Times New Roman" w:eastAsia="Times New Roman" w:hAnsi="Times New Roman" w:cs="Times New Roman"/>
                <w:noProof w:val="0"/>
                <w:sz w:val="26"/>
                <w:szCs w:val="26"/>
                <w:lang w:eastAsia="fr-FR"/>
              </w:rPr>
            </w:pPr>
            <w:r>
              <w:rPr>
                <w:rFonts w:ascii="Times New Roman" w:eastAsia="Times New Roman" w:hAnsi="Times New Roman" w:cs="Times New Roman"/>
                <w:noProof w:val="0"/>
                <w:sz w:val="26"/>
                <w:szCs w:val="26"/>
                <w:lang w:eastAsia="fr-FR"/>
              </w:rPr>
              <w:t>Quyết định 4304/QĐ-UBND ngày 13/8/2019 của UBND thành phố Hà Nội ban hành về việc công bố Danh mục thủ tục hành chính lĩnh vực tư pháp thuộc thẩm quyền giải quyết của cấp Thành phố, UBND cấp huyện, UBND cấp xã trên địa bàn thành phố Hà Nội; Danh mục thủ tục hành chính liên thông với Bộ Tư pháp; Thủ tục hành chính liên thông trong nội bộ thành phố Hà Nội.</w:t>
            </w:r>
            <w:bookmarkStart w:id="0" w:name="_GoBack"/>
            <w:bookmarkEnd w:id="0"/>
          </w:p>
        </w:tc>
        <w:tc>
          <w:tcPr>
            <w:tcW w:w="2265" w:type="dxa"/>
            <w:vAlign w:val="center"/>
          </w:tcPr>
          <w:p w14:paraId="4D2DA16E" w14:textId="796A25C0" w:rsidR="00FE6624" w:rsidRPr="0081670E" w:rsidRDefault="00FE6624" w:rsidP="0081670E">
            <w:pPr>
              <w:spacing w:before="120" w:after="120" w:line="300" w:lineRule="exact"/>
              <w:jc w:val="center"/>
              <w:rPr>
                <w:rFonts w:ascii="Times New Roman" w:eastAsia="Times New Roman" w:hAnsi="Times New Roman" w:cs="Times New Roman"/>
                <w:noProof w:val="0"/>
                <w:sz w:val="26"/>
                <w:szCs w:val="26"/>
                <w:lang w:eastAsia="fr-FR"/>
              </w:rPr>
            </w:pPr>
            <w:r w:rsidRPr="0081670E">
              <w:rPr>
                <w:rFonts w:ascii="Times New Roman" w:eastAsia="Times New Roman" w:hAnsi="Times New Roman" w:cs="Times New Roman"/>
                <w:noProof w:val="0"/>
                <w:sz w:val="26"/>
                <w:szCs w:val="26"/>
                <w:lang w:eastAsia="fr-FR"/>
              </w:rPr>
              <w:t>Đang có hiệu lực</w:t>
            </w:r>
          </w:p>
        </w:tc>
        <w:tc>
          <w:tcPr>
            <w:tcW w:w="1869" w:type="dxa"/>
          </w:tcPr>
          <w:p w14:paraId="6A96EA7A" w14:textId="77777777" w:rsidR="00FE6624" w:rsidRPr="0081670E" w:rsidRDefault="00FE6624" w:rsidP="0081670E">
            <w:pPr>
              <w:spacing w:before="120" w:after="120" w:line="300" w:lineRule="exact"/>
              <w:rPr>
                <w:rFonts w:ascii="Times New Roman" w:eastAsia="Times New Roman" w:hAnsi="Times New Roman" w:cs="Times New Roman"/>
                <w:i/>
                <w:iCs/>
                <w:noProof w:val="0"/>
                <w:sz w:val="26"/>
                <w:szCs w:val="26"/>
                <w:lang w:eastAsia="fr-FR"/>
              </w:rPr>
            </w:pPr>
          </w:p>
        </w:tc>
      </w:tr>
    </w:tbl>
    <w:p w14:paraId="341E61F7" w14:textId="77777777" w:rsidR="008F0219" w:rsidRPr="00305F6E" w:rsidRDefault="008F0219" w:rsidP="008F0219">
      <w:pPr>
        <w:rPr>
          <w:sz w:val="26"/>
          <w:szCs w:val="26"/>
        </w:rPr>
      </w:pPr>
    </w:p>
    <w:sectPr w:rsidR="008F0219" w:rsidRPr="00305F6E" w:rsidSect="0081670E">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D3550"/>
    <w:multiLevelType w:val="multilevel"/>
    <w:tmpl w:val="D29E728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9C"/>
    <w:rsid w:val="0008566D"/>
    <w:rsid w:val="00114B7D"/>
    <w:rsid w:val="001918ED"/>
    <w:rsid w:val="00206134"/>
    <w:rsid w:val="002111D2"/>
    <w:rsid w:val="002D680D"/>
    <w:rsid w:val="00305F6E"/>
    <w:rsid w:val="00313B08"/>
    <w:rsid w:val="00317ED2"/>
    <w:rsid w:val="0037464B"/>
    <w:rsid w:val="003B10E0"/>
    <w:rsid w:val="004A54F1"/>
    <w:rsid w:val="004C5DED"/>
    <w:rsid w:val="0053447D"/>
    <w:rsid w:val="00572D35"/>
    <w:rsid w:val="005D25FC"/>
    <w:rsid w:val="005E21AD"/>
    <w:rsid w:val="00643B5B"/>
    <w:rsid w:val="00654750"/>
    <w:rsid w:val="006D1574"/>
    <w:rsid w:val="007655C0"/>
    <w:rsid w:val="007E7751"/>
    <w:rsid w:val="0081670E"/>
    <w:rsid w:val="0083762B"/>
    <w:rsid w:val="00890A32"/>
    <w:rsid w:val="008F0219"/>
    <w:rsid w:val="009D309C"/>
    <w:rsid w:val="00AE0F91"/>
    <w:rsid w:val="00AE42F5"/>
    <w:rsid w:val="00BE75E8"/>
    <w:rsid w:val="00C16CB9"/>
    <w:rsid w:val="00CA5FC3"/>
    <w:rsid w:val="00CC5D1E"/>
    <w:rsid w:val="00D22198"/>
    <w:rsid w:val="00DD4A8E"/>
    <w:rsid w:val="00E77CFF"/>
    <w:rsid w:val="00EB6FB8"/>
    <w:rsid w:val="00EE5019"/>
    <w:rsid w:val="00F20CC3"/>
    <w:rsid w:val="00F75076"/>
    <w:rsid w:val="00F92959"/>
    <w:rsid w:val="00FB453A"/>
    <w:rsid w:val="00FE6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92E8"/>
  <w15:chartTrackingRefBased/>
  <w15:docId w15:val="{9ADA86DF-11DD-471E-9370-4B834532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120" w:line="3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19"/>
    <w:pPr>
      <w:spacing w:before="0" w:after="160" w:line="259" w:lineRule="auto"/>
      <w:jc w:val="left"/>
    </w:pPr>
    <w:rPr>
      <w:rFonts w:eastAsiaTheme="minorEastAsia"/>
      <w:noProo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219"/>
    <w:pPr>
      <w:widowControl w:val="0"/>
      <w:spacing w:before="0" w:after="160" w:line="259"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03">
      <w:bodyDiv w:val="1"/>
      <w:marLeft w:val="0"/>
      <w:marRight w:val="0"/>
      <w:marTop w:val="0"/>
      <w:marBottom w:val="0"/>
      <w:divBdr>
        <w:top w:val="none" w:sz="0" w:space="0" w:color="auto"/>
        <w:left w:val="none" w:sz="0" w:space="0" w:color="auto"/>
        <w:bottom w:val="none" w:sz="0" w:space="0" w:color="auto"/>
        <w:right w:val="none" w:sz="0" w:space="0" w:color="auto"/>
      </w:divBdr>
    </w:div>
    <w:div w:id="68356481">
      <w:bodyDiv w:val="1"/>
      <w:marLeft w:val="0"/>
      <w:marRight w:val="0"/>
      <w:marTop w:val="0"/>
      <w:marBottom w:val="0"/>
      <w:divBdr>
        <w:top w:val="none" w:sz="0" w:space="0" w:color="auto"/>
        <w:left w:val="none" w:sz="0" w:space="0" w:color="auto"/>
        <w:bottom w:val="none" w:sz="0" w:space="0" w:color="auto"/>
        <w:right w:val="none" w:sz="0" w:space="0" w:color="auto"/>
      </w:divBdr>
    </w:div>
    <w:div w:id="106629870">
      <w:bodyDiv w:val="1"/>
      <w:marLeft w:val="0"/>
      <w:marRight w:val="0"/>
      <w:marTop w:val="0"/>
      <w:marBottom w:val="0"/>
      <w:divBdr>
        <w:top w:val="none" w:sz="0" w:space="0" w:color="auto"/>
        <w:left w:val="none" w:sz="0" w:space="0" w:color="auto"/>
        <w:bottom w:val="none" w:sz="0" w:space="0" w:color="auto"/>
        <w:right w:val="none" w:sz="0" w:space="0" w:color="auto"/>
      </w:divBdr>
    </w:div>
    <w:div w:id="601033746">
      <w:bodyDiv w:val="1"/>
      <w:marLeft w:val="0"/>
      <w:marRight w:val="0"/>
      <w:marTop w:val="0"/>
      <w:marBottom w:val="0"/>
      <w:divBdr>
        <w:top w:val="none" w:sz="0" w:space="0" w:color="auto"/>
        <w:left w:val="none" w:sz="0" w:space="0" w:color="auto"/>
        <w:bottom w:val="none" w:sz="0" w:space="0" w:color="auto"/>
        <w:right w:val="none" w:sz="0" w:space="0" w:color="auto"/>
      </w:divBdr>
    </w:div>
    <w:div w:id="771825865">
      <w:bodyDiv w:val="1"/>
      <w:marLeft w:val="0"/>
      <w:marRight w:val="0"/>
      <w:marTop w:val="0"/>
      <w:marBottom w:val="0"/>
      <w:divBdr>
        <w:top w:val="none" w:sz="0" w:space="0" w:color="auto"/>
        <w:left w:val="none" w:sz="0" w:space="0" w:color="auto"/>
        <w:bottom w:val="none" w:sz="0" w:space="0" w:color="auto"/>
        <w:right w:val="none" w:sz="0" w:space="0" w:color="auto"/>
      </w:divBdr>
    </w:div>
    <w:div w:id="1117525558">
      <w:bodyDiv w:val="1"/>
      <w:marLeft w:val="0"/>
      <w:marRight w:val="0"/>
      <w:marTop w:val="0"/>
      <w:marBottom w:val="0"/>
      <w:divBdr>
        <w:top w:val="none" w:sz="0" w:space="0" w:color="auto"/>
        <w:left w:val="none" w:sz="0" w:space="0" w:color="auto"/>
        <w:bottom w:val="none" w:sz="0" w:space="0" w:color="auto"/>
        <w:right w:val="none" w:sz="0" w:space="0" w:color="auto"/>
      </w:divBdr>
    </w:div>
    <w:div w:id="1634024495">
      <w:bodyDiv w:val="1"/>
      <w:marLeft w:val="0"/>
      <w:marRight w:val="0"/>
      <w:marTop w:val="0"/>
      <w:marBottom w:val="0"/>
      <w:divBdr>
        <w:top w:val="none" w:sz="0" w:space="0" w:color="auto"/>
        <w:left w:val="none" w:sz="0" w:space="0" w:color="auto"/>
        <w:bottom w:val="none" w:sz="0" w:space="0" w:color="auto"/>
        <w:right w:val="none" w:sz="0" w:space="0" w:color="auto"/>
      </w:divBdr>
    </w:div>
    <w:div w:id="1687636208">
      <w:bodyDiv w:val="1"/>
      <w:marLeft w:val="0"/>
      <w:marRight w:val="0"/>
      <w:marTop w:val="0"/>
      <w:marBottom w:val="0"/>
      <w:divBdr>
        <w:top w:val="none" w:sz="0" w:space="0" w:color="auto"/>
        <w:left w:val="none" w:sz="0" w:space="0" w:color="auto"/>
        <w:bottom w:val="none" w:sz="0" w:space="0" w:color="auto"/>
        <w:right w:val="none" w:sz="0" w:space="0" w:color="auto"/>
      </w:divBdr>
    </w:div>
    <w:div w:id="1742094178">
      <w:bodyDiv w:val="1"/>
      <w:marLeft w:val="0"/>
      <w:marRight w:val="0"/>
      <w:marTop w:val="0"/>
      <w:marBottom w:val="0"/>
      <w:divBdr>
        <w:top w:val="none" w:sz="0" w:space="0" w:color="auto"/>
        <w:left w:val="none" w:sz="0" w:space="0" w:color="auto"/>
        <w:bottom w:val="none" w:sz="0" w:space="0" w:color="auto"/>
        <w:right w:val="none" w:sz="0" w:space="0" w:color="auto"/>
      </w:divBdr>
    </w:div>
    <w:div w:id="1751846832">
      <w:bodyDiv w:val="1"/>
      <w:marLeft w:val="0"/>
      <w:marRight w:val="0"/>
      <w:marTop w:val="0"/>
      <w:marBottom w:val="0"/>
      <w:divBdr>
        <w:top w:val="none" w:sz="0" w:space="0" w:color="auto"/>
        <w:left w:val="none" w:sz="0" w:space="0" w:color="auto"/>
        <w:bottom w:val="none" w:sz="0" w:space="0" w:color="auto"/>
        <w:right w:val="none" w:sz="0" w:space="0" w:color="auto"/>
      </w:divBdr>
    </w:div>
    <w:div w:id="1822497502">
      <w:bodyDiv w:val="1"/>
      <w:marLeft w:val="0"/>
      <w:marRight w:val="0"/>
      <w:marTop w:val="0"/>
      <w:marBottom w:val="0"/>
      <w:divBdr>
        <w:top w:val="none" w:sz="0" w:space="0" w:color="auto"/>
        <w:left w:val="none" w:sz="0" w:space="0" w:color="auto"/>
        <w:bottom w:val="none" w:sz="0" w:space="0" w:color="auto"/>
        <w:right w:val="none" w:sz="0" w:space="0" w:color="auto"/>
      </w:divBdr>
    </w:div>
    <w:div w:id="1947493026">
      <w:bodyDiv w:val="1"/>
      <w:marLeft w:val="0"/>
      <w:marRight w:val="0"/>
      <w:marTop w:val="0"/>
      <w:marBottom w:val="0"/>
      <w:divBdr>
        <w:top w:val="none" w:sz="0" w:space="0" w:color="auto"/>
        <w:left w:val="none" w:sz="0" w:space="0" w:color="auto"/>
        <w:bottom w:val="none" w:sz="0" w:space="0" w:color="auto"/>
        <w:right w:val="none" w:sz="0" w:space="0" w:color="auto"/>
      </w:divBdr>
    </w:div>
    <w:div w:id="19857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Trung Nguyen</dc:creator>
  <cp:keywords/>
  <dc:description/>
  <cp:lastModifiedBy>Quang Vinh Lưu</cp:lastModifiedBy>
  <cp:revision>26</cp:revision>
  <dcterms:created xsi:type="dcterms:W3CDTF">2019-07-25T02:31:00Z</dcterms:created>
  <dcterms:modified xsi:type="dcterms:W3CDTF">2019-09-05T02:40:00Z</dcterms:modified>
</cp:coreProperties>
</file>