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43" w:rsidRPr="00CF6343" w:rsidRDefault="00CF6343" w:rsidP="00CF6343">
      <w:pPr>
        <w:ind w:firstLine="720"/>
        <w:jc w:val="both"/>
        <w:rPr>
          <w:b/>
          <w:sz w:val="26"/>
          <w:szCs w:val="26"/>
        </w:rPr>
      </w:pPr>
      <w:r w:rsidRPr="00CF6343">
        <w:rPr>
          <w:b/>
          <w:sz w:val="26"/>
          <w:szCs w:val="26"/>
        </w:rPr>
        <w:t xml:space="preserve">29. Thủ tục 29: Thủ tục đăng ký khai sinh lưu động </w:t>
      </w:r>
    </w:p>
    <w:p w:rsidR="00CF6343" w:rsidRPr="00CF6343" w:rsidRDefault="00CF6343" w:rsidP="00CF6343">
      <w:pPr>
        <w:ind w:firstLine="720"/>
        <w:jc w:val="both"/>
        <w:rPr>
          <w:sz w:val="26"/>
          <w:szCs w:val="26"/>
        </w:rPr>
      </w:pPr>
      <w:r w:rsidRPr="00CF6343">
        <w:rPr>
          <w:sz w:val="26"/>
          <w:szCs w:val="26"/>
        </w:rPr>
        <w:t xml:space="preserve">Cấp thực hiện: Cấp Xã </w:t>
      </w:r>
    </w:p>
    <w:p w:rsidR="00CF6343" w:rsidRPr="00CF6343" w:rsidRDefault="00CF6343" w:rsidP="00CF6343">
      <w:pPr>
        <w:ind w:firstLine="720"/>
        <w:jc w:val="both"/>
        <w:rPr>
          <w:sz w:val="26"/>
          <w:szCs w:val="26"/>
        </w:rPr>
      </w:pPr>
      <w:r w:rsidRPr="00CF6343">
        <w:rPr>
          <w:sz w:val="26"/>
          <w:szCs w:val="26"/>
        </w:rPr>
        <w:t xml:space="preserve">Loại thủ tục: TTHC được luật giao quy định chi tiết </w:t>
      </w:r>
    </w:p>
    <w:p w:rsidR="00CF6343" w:rsidRPr="00CF6343" w:rsidRDefault="00CF6343" w:rsidP="00CF6343">
      <w:pPr>
        <w:ind w:firstLine="720"/>
        <w:jc w:val="both"/>
        <w:rPr>
          <w:sz w:val="26"/>
          <w:szCs w:val="26"/>
        </w:rPr>
      </w:pPr>
      <w:r w:rsidRPr="00CF6343">
        <w:rPr>
          <w:sz w:val="26"/>
          <w:szCs w:val="26"/>
        </w:rPr>
        <w:t xml:space="preserve">Lĩnh vực: Hộ tịch </w:t>
      </w:r>
    </w:p>
    <w:p w:rsidR="00CF6343" w:rsidRPr="00CF6343" w:rsidRDefault="00CF6343" w:rsidP="00CF6343">
      <w:pPr>
        <w:ind w:firstLine="720"/>
        <w:jc w:val="both"/>
        <w:rPr>
          <w:sz w:val="26"/>
          <w:szCs w:val="26"/>
        </w:rPr>
      </w:pPr>
      <w:r w:rsidRPr="00CF6343">
        <w:rPr>
          <w:sz w:val="26"/>
          <w:szCs w:val="26"/>
        </w:rPr>
        <w:t xml:space="preserve">Trình tự thực hiện: </w:t>
      </w:r>
    </w:p>
    <w:p w:rsidR="00CF6343" w:rsidRDefault="00CF6343" w:rsidP="00CF6343">
      <w:pPr>
        <w:ind w:firstLine="720"/>
        <w:jc w:val="both"/>
        <w:rPr>
          <w:sz w:val="26"/>
          <w:szCs w:val="26"/>
        </w:rPr>
      </w:pPr>
      <w:r w:rsidRPr="00CF6343">
        <w:rPr>
          <w:sz w:val="26"/>
          <w:szCs w:val="26"/>
        </w:rPr>
        <w:t>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 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p w:rsidR="00CF6343" w:rsidRDefault="00CF6343" w:rsidP="00CF6343">
      <w:pPr>
        <w:ind w:firstLine="720"/>
        <w:jc w:val="both"/>
        <w:rPr>
          <w:sz w:val="26"/>
          <w:szCs w:val="26"/>
        </w:rPr>
      </w:pPr>
      <w:r w:rsidRPr="00CF6343">
        <w:rPr>
          <w:sz w:val="26"/>
          <w:szCs w:val="26"/>
        </w:rPr>
        <w:t>Trong thời hạn 02 ngày làm việc, kể từ ngày tiếp nhận đủ hồ sơ, công chức tư pháp - hộ tịch báo cáo Chủ tịch Ủy ban nhân dân cấp xã. Trường hợp Chủ tịch Ủy ban nhân dân đồng ý giải quyết thì ký Giấy khai sinh cấp cho người có yêu cầu.</w:t>
      </w:r>
      <w:r w:rsidRPr="00CF6343">
        <w:rPr>
          <w:sz w:val="26"/>
          <w:szCs w:val="26"/>
        </w:rPr>
        <w:br/>
        <w:t xml:space="preserve">Trong thời hạn 05 ngày kể từ ngày tiếp nhận đủ hồ sơ, công chức tư pháp - hộ tịch đem theo Giấy khai sinh và Sổ đăng ký khai sinh để trả kết quả cho người có yêu cầu tại địa điểm đăng ký lưu động; công chức tư pháp - hộ tịch ghi nội dung đăng ký vào Sổ đăng ký khai sinh, cùng người yêu cầu ký Sổ theo quy định. Tại mục “Ghi chú” trong Sổ đăng ký khai </w:t>
      </w:r>
      <w:r>
        <w:rPr>
          <w:sz w:val="26"/>
          <w:szCs w:val="26"/>
        </w:rPr>
        <w:t>sinh ghi rõ “Đăng ký lưu động”.</w:t>
      </w:r>
    </w:p>
    <w:p w:rsidR="00CF6343" w:rsidRPr="00CF6343" w:rsidRDefault="00CF6343" w:rsidP="00CF6343">
      <w:pPr>
        <w:ind w:firstLine="720"/>
        <w:jc w:val="both"/>
        <w:rPr>
          <w:sz w:val="26"/>
          <w:szCs w:val="26"/>
        </w:rPr>
      </w:pPr>
      <w:r w:rsidRPr="00CF6343">
        <w:rPr>
          <w:sz w:val="26"/>
          <w:szCs w:val="26"/>
        </w:rPr>
        <w:t>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rsidR="00CF6343" w:rsidRPr="00CF6343" w:rsidRDefault="00CF6343" w:rsidP="00CF6343">
      <w:pPr>
        <w:ind w:firstLine="720"/>
        <w:jc w:val="both"/>
        <w:rPr>
          <w:sz w:val="26"/>
          <w:szCs w:val="26"/>
        </w:rPr>
      </w:pPr>
      <w:bookmarkStart w:id="0" w:name="_GoBack"/>
      <w:bookmarkEnd w:id="0"/>
      <w:r w:rsidRPr="00CF6343">
        <w:rPr>
          <w:sz w:val="26"/>
          <w:szCs w:val="26"/>
        </w:rPr>
        <w:t xml:space="preserve">Cách thức thực hiện: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1382"/>
        <w:gridCol w:w="2283"/>
        <w:gridCol w:w="4551"/>
      </w:tblGrid>
      <w:tr w:rsidR="00CF6343" w:rsidRPr="00CF6343" w:rsidTr="00CF6343">
        <w:trPr>
          <w:tblHeader/>
          <w:tblCellSpacing w:w="15" w:type="dxa"/>
        </w:trPr>
        <w:tc>
          <w:tcPr>
            <w:tcW w:w="500" w:type="pct"/>
            <w:vAlign w:val="center"/>
            <w:hideMark/>
          </w:tcPr>
          <w:p w:rsidR="00CF6343" w:rsidRPr="00CF6343" w:rsidRDefault="00CF6343" w:rsidP="00CF6343">
            <w:pPr>
              <w:jc w:val="both"/>
              <w:rPr>
                <w:b/>
                <w:bCs/>
                <w:sz w:val="26"/>
                <w:szCs w:val="26"/>
              </w:rPr>
            </w:pPr>
            <w:r w:rsidRPr="00CF6343">
              <w:rPr>
                <w:b/>
                <w:bCs/>
                <w:sz w:val="26"/>
                <w:szCs w:val="26"/>
              </w:rPr>
              <w:t>Hình thức nộp</w:t>
            </w:r>
          </w:p>
        </w:tc>
        <w:tc>
          <w:tcPr>
            <w:tcW w:w="750" w:type="pct"/>
            <w:vAlign w:val="center"/>
            <w:hideMark/>
          </w:tcPr>
          <w:p w:rsidR="00CF6343" w:rsidRPr="00CF6343" w:rsidRDefault="00CF6343" w:rsidP="00CF6343">
            <w:pPr>
              <w:jc w:val="both"/>
              <w:rPr>
                <w:b/>
                <w:bCs/>
                <w:sz w:val="26"/>
                <w:szCs w:val="26"/>
              </w:rPr>
            </w:pPr>
            <w:r w:rsidRPr="00CF6343">
              <w:rPr>
                <w:b/>
                <w:bCs/>
                <w:sz w:val="26"/>
                <w:szCs w:val="26"/>
              </w:rPr>
              <w:t>Thời hạn giải quyết</w:t>
            </w:r>
          </w:p>
        </w:tc>
        <w:tc>
          <w:tcPr>
            <w:tcW w:w="1250" w:type="pct"/>
            <w:vAlign w:val="center"/>
            <w:hideMark/>
          </w:tcPr>
          <w:p w:rsidR="00CF6343" w:rsidRPr="00CF6343" w:rsidRDefault="00CF6343" w:rsidP="00CF6343">
            <w:pPr>
              <w:jc w:val="both"/>
              <w:rPr>
                <w:b/>
                <w:bCs/>
                <w:sz w:val="26"/>
                <w:szCs w:val="26"/>
              </w:rPr>
            </w:pPr>
            <w:r w:rsidRPr="00CF6343">
              <w:rPr>
                <w:b/>
                <w:bCs/>
                <w:sz w:val="26"/>
                <w:szCs w:val="26"/>
              </w:rPr>
              <w:t>Phí, lệ phí</w:t>
            </w:r>
          </w:p>
        </w:tc>
        <w:tc>
          <w:tcPr>
            <w:tcW w:w="2500" w:type="pct"/>
            <w:vAlign w:val="center"/>
            <w:hideMark/>
          </w:tcPr>
          <w:p w:rsidR="00CF6343" w:rsidRPr="00CF6343" w:rsidRDefault="00CF6343" w:rsidP="00CF6343">
            <w:pPr>
              <w:jc w:val="both"/>
              <w:rPr>
                <w:b/>
                <w:bCs/>
                <w:sz w:val="26"/>
                <w:szCs w:val="26"/>
              </w:rPr>
            </w:pPr>
            <w:r w:rsidRPr="00CF6343">
              <w:rPr>
                <w:b/>
                <w:bCs/>
                <w:sz w:val="26"/>
                <w:szCs w:val="26"/>
              </w:rPr>
              <w:t>Mô tả</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t>Trực tiếp</w:t>
            </w:r>
          </w:p>
        </w:tc>
        <w:tc>
          <w:tcPr>
            <w:tcW w:w="0" w:type="auto"/>
            <w:vAlign w:val="center"/>
            <w:hideMark/>
          </w:tcPr>
          <w:p w:rsidR="00CF6343" w:rsidRPr="00CF6343" w:rsidRDefault="00CF6343" w:rsidP="00CF6343">
            <w:pPr>
              <w:jc w:val="both"/>
              <w:rPr>
                <w:sz w:val="26"/>
                <w:szCs w:val="26"/>
              </w:rPr>
            </w:pPr>
            <w:r w:rsidRPr="00CF6343">
              <w:rPr>
                <w:sz w:val="26"/>
                <w:szCs w:val="26"/>
              </w:rPr>
              <w:t xml:space="preserve">05 Ngày làm việc </w:t>
            </w:r>
          </w:p>
        </w:tc>
        <w:tc>
          <w:tcPr>
            <w:tcW w:w="0" w:type="auto"/>
            <w:vAlign w:val="center"/>
            <w:hideMark/>
          </w:tcPr>
          <w:p w:rsidR="00CF6343" w:rsidRPr="00CF6343" w:rsidRDefault="00CF6343" w:rsidP="00CF6343">
            <w:pPr>
              <w:jc w:val="both"/>
              <w:rPr>
                <w:sz w:val="26"/>
                <w:szCs w:val="26"/>
              </w:rPr>
            </w:pPr>
            <w:r w:rsidRPr="00CF6343">
              <w:rPr>
                <w:sz w:val="26"/>
                <w:szCs w:val="26"/>
              </w:rPr>
              <w:t xml:space="preserve">Lệ phí : 0 Đồng (Miễn lệ phí đối với trường hợp đăng ký khai sinh đúng hạn; đăng ký cho người thuộc gia đình có công với cách mạng; người thuộc hộ nghèo; người khuyết tật.) </w:t>
            </w:r>
            <w:r w:rsidRPr="00CF6343">
              <w:rPr>
                <w:sz w:val="26"/>
                <w:szCs w:val="26"/>
              </w:rPr>
              <w:br/>
              <w:t>612016-nq-hdnd.pdf</w:t>
            </w:r>
            <w:r w:rsidRPr="00CF6343">
              <w:rPr>
                <w:sz w:val="26"/>
                <w:szCs w:val="26"/>
              </w:rPr>
              <w:br/>
              <w:t xml:space="preserve">Lệ phí : 5.000 Đồng (Lệ phí Đăng ký quá hạn) </w:t>
            </w:r>
          </w:p>
        </w:tc>
        <w:tc>
          <w:tcPr>
            <w:tcW w:w="0" w:type="auto"/>
            <w:vAlign w:val="center"/>
            <w:hideMark/>
          </w:tcPr>
          <w:p w:rsidR="00CF6343" w:rsidRPr="00CF6343" w:rsidRDefault="00CF6343" w:rsidP="00CF6343">
            <w:pPr>
              <w:jc w:val="both"/>
              <w:rPr>
                <w:sz w:val="26"/>
                <w:szCs w:val="26"/>
              </w:rPr>
            </w:pPr>
            <w:r w:rsidRPr="00CF6343">
              <w:rPr>
                <w:sz w:val="26"/>
                <w:szCs w:val="26"/>
              </w:rPr>
              <w:t>Lưu động</w:t>
            </w:r>
          </w:p>
        </w:tc>
      </w:tr>
    </w:tbl>
    <w:p w:rsidR="00CF6343" w:rsidRPr="00CF6343" w:rsidRDefault="00CF6343" w:rsidP="00CF6343">
      <w:pPr>
        <w:jc w:val="both"/>
        <w:rPr>
          <w:sz w:val="26"/>
          <w:szCs w:val="26"/>
        </w:rPr>
      </w:pPr>
      <w:r w:rsidRPr="00CF6343">
        <w:rPr>
          <w:sz w:val="26"/>
          <w:szCs w:val="26"/>
        </w:rPr>
        <w:t xml:space="preserve">Thành phần hồ sơ: </w:t>
      </w:r>
    </w:p>
    <w:p w:rsidR="00CF6343" w:rsidRPr="00CF6343" w:rsidRDefault="00CF6343" w:rsidP="00CF6343">
      <w:pPr>
        <w:jc w:val="both"/>
        <w:rPr>
          <w:sz w:val="26"/>
          <w:szCs w:val="26"/>
        </w:rPr>
      </w:pPr>
      <w:r w:rsidRPr="00CF6343">
        <w:rPr>
          <w:sz w:val="26"/>
          <w:szCs w:val="26"/>
        </w:rPr>
        <w:t xml:space="preserve">* Giấy tờ phải nộp: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CF6343" w:rsidRPr="00CF6343" w:rsidTr="00CF6343">
        <w:trPr>
          <w:tblHeader/>
          <w:tblCellSpacing w:w="15" w:type="dxa"/>
        </w:trPr>
        <w:tc>
          <w:tcPr>
            <w:tcW w:w="3250" w:type="pct"/>
            <w:vAlign w:val="center"/>
            <w:hideMark/>
          </w:tcPr>
          <w:p w:rsidR="00CF6343" w:rsidRPr="00CF6343" w:rsidRDefault="00CF6343" w:rsidP="00CF6343">
            <w:pPr>
              <w:jc w:val="both"/>
              <w:rPr>
                <w:b/>
                <w:bCs/>
                <w:sz w:val="26"/>
                <w:szCs w:val="26"/>
              </w:rPr>
            </w:pPr>
            <w:r w:rsidRPr="00CF6343">
              <w:rPr>
                <w:b/>
                <w:bCs/>
                <w:sz w:val="26"/>
                <w:szCs w:val="26"/>
              </w:rPr>
              <w:t>Tên giấy tờ</w:t>
            </w:r>
          </w:p>
        </w:tc>
        <w:tc>
          <w:tcPr>
            <w:tcW w:w="750" w:type="pct"/>
            <w:vAlign w:val="center"/>
            <w:hideMark/>
          </w:tcPr>
          <w:p w:rsidR="00CF6343" w:rsidRPr="00CF6343" w:rsidRDefault="00CF6343" w:rsidP="00CF6343">
            <w:pPr>
              <w:jc w:val="both"/>
              <w:rPr>
                <w:b/>
                <w:bCs/>
                <w:sz w:val="26"/>
                <w:szCs w:val="26"/>
              </w:rPr>
            </w:pPr>
            <w:r w:rsidRPr="00CF6343">
              <w:rPr>
                <w:b/>
                <w:bCs/>
                <w:sz w:val="26"/>
                <w:szCs w:val="26"/>
              </w:rPr>
              <w:t>Mẫu đơn, tờ khai</w:t>
            </w:r>
          </w:p>
        </w:tc>
        <w:tc>
          <w:tcPr>
            <w:tcW w:w="1000" w:type="pct"/>
            <w:vAlign w:val="center"/>
            <w:hideMark/>
          </w:tcPr>
          <w:p w:rsidR="00CF6343" w:rsidRPr="00CF6343" w:rsidRDefault="00CF6343" w:rsidP="00CF6343">
            <w:pPr>
              <w:jc w:val="both"/>
              <w:rPr>
                <w:b/>
                <w:bCs/>
                <w:sz w:val="26"/>
                <w:szCs w:val="26"/>
              </w:rPr>
            </w:pPr>
            <w:r w:rsidRPr="00CF6343">
              <w:rPr>
                <w:b/>
                <w:bCs/>
                <w:sz w:val="26"/>
                <w:szCs w:val="26"/>
              </w:rPr>
              <w:t>Số lượng</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lastRenderedPageBreak/>
              <w:t>- Tờ khai đăng ký khai sinh theo mẫu.</w:t>
            </w:r>
          </w:p>
        </w:tc>
        <w:tc>
          <w:tcPr>
            <w:tcW w:w="0" w:type="auto"/>
            <w:vAlign w:val="center"/>
            <w:hideMark/>
          </w:tcPr>
          <w:p w:rsidR="00CF6343" w:rsidRPr="00CF6343" w:rsidRDefault="00CF6343" w:rsidP="00CF6343">
            <w:pPr>
              <w:jc w:val="both"/>
              <w:rPr>
                <w:sz w:val="26"/>
                <w:szCs w:val="26"/>
              </w:rPr>
            </w:pPr>
            <w:r w:rsidRPr="00CF6343">
              <w:rPr>
                <w:sz w:val="26"/>
                <w:szCs w:val="26"/>
              </w:rPr>
              <w:t>1. TK đăng ký khai sinh.doc</w:t>
            </w:r>
          </w:p>
        </w:tc>
        <w:tc>
          <w:tcPr>
            <w:tcW w:w="0" w:type="auto"/>
            <w:vAlign w:val="center"/>
            <w:hideMark/>
          </w:tcPr>
          <w:p w:rsidR="00CF6343" w:rsidRPr="00CF6343" w:rsidRDefault="00CF6343" w:rsidP="00CF6343">
            <w:pPr>
              <w:jc w:val="both"/>
              <w:rPr>
                <w:sz w:val="26"/>
                <w:szCs w:val="26"/>
              </w:rPr>
            </w:pPr>
            <w:r w:rsidRPr="00CF6343">
              <w:rPr>
                <w:sz w:val="26"/>
                <w:szCs w:val="26"/>
              </w:rPr>
              <w:t>Bản chính: 1</w:t>
            </w:r>
            <w:r w:rsidRPr="00CF6343">
              <w:rPr>
                <w:sz w:val="26"/>
                <w:szCs w:val="26"/>
              </w:rPr>
              <w:br/>
              <w:t>Bản sao: 0</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vAlign w:val="center"/>
            <w:hideMark/>
          </w:tcPr>
          <w:p w:rsidR="00CF6343" w:rsidRPr="00CF6343" w:rsidRDefault="00CF6343" w:rsidP="00CF6343">
            <w:pPr>
              <w:jc w:val="both"/>
              <w:rPr>
                <w:sz w:val="26"/>
                <w:szCs w:val="26"/>
              </w:rPr>
            </w:pPr>
          </w:p>
        </w:tc>
        <w:tc>
          <w:tcPr>
            <w:tcW w:w="0" w:type="auto"/>
            <w:vAlign w:val="center"/>
            <w:hideMark/>
          </w:tcPr>
          <w:p w:rsidR="00CF6343" w:rsidRPr="00CF6343" w:rsidRDefault="00CF6343" w:rsidP="00CF6343">
            <w:pPr>
              <w:jc w:val="both"/>
              <w:rPr>
                <w:sz w:val="26"/>
                <w:szCs w:val="26"/>
              </w:rPr>
            </w:pPr>
            <w:r w:rsidRPr="00CF6343">
              <w:rPr>
                <w:sz w:val="26"/>
                <w:szCs w:val="26"/>
              </w:rPr>
              <w:t>Bản chính: 1</w:t>
            </w:r>
            <w:r w:rsidRPr="00CF6343">
              <w:rPr>
                <w:sz w:val="26"/>
                <w:szCs w:val="26"/>
              </w:rPr>
              <w:br/>
              <w:t>Bản sao: 0</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t>- Trường hợp khai sinh cho trẻ em sinh ra do mang thai hộ phải có văn bản xác nhận của cơ sở y tế đã thực hiện kỹ thuật hỗ trợ sinh sản cho việc mang thai hộ.</w:t>
            </w:r>
          </w:p>
        </w:tc>
        <w:tc>
          <w:tcPr>
            <w:tcW w:w="0" w:type="auto"/>
            <w:vAlign w:val="center"/>
            <w:hideMark/>
          </w:tcPr>
          <w:p w:rsidR="00CF6343" w:rsidRPr="00CF6343" w:rsidRDefault="00CF6343" w:rsidP="00CF6343">
            <w:pPr>
              <w:jc w:val="both"/>
              <w:rPr>
                <w:sz w:val="26"/>
                <w:szCs w:val="26"/>
              </w:rPr>
            </w:pPr>
          </w:p>
        </w:tc>
        <w:tc>
          <w:tcPr>
            <w:tcW w:w="0" w:type="auto"/>
            <w:vAlign w:val="center"/>
            <w:hideMark/>
          </w:tcPr>
          <w:p w:rsidR="00CF6343" w:rsidRPr="00CF6343" w:rsidRDefault="00CF6343" w:rsidP="00CF6343">
            <w:pPr>
              <w:jc w:val="both"/>
              <w:rPr>
                <w:sz w:val="26"/>
                <w:szCs w:val="26"/>
              </w:rPr>
            </w:pPr>
            <w:r w:rsidRPr="00CF6343">
              <w:rPr>
                <w:sz w:val="26"/>
                <w:szCs w:val="26"/>
              </w:rPr>
              <w:t>Bản chính: 1</w:t>
            </w:r>
            <w:r w:rsidRPr="00CF6343">
              <w:rPr>
                <w:sz w:val="26"/>
                <w:szCs w:val="26"/>
              </w:rPr>
              <w:br/>
              <w:t>Bản sao: 0</w:t>
            </w:r>
          </w:p>
        </w:tc>
      </w:tr>
    </w:tbl>
    <w:p w:rsidR="00CF6343" w:rsidRPr="00CF6343" w:rsidRDefault="00CF6343" w:rsidP="00CF6343">
      <w:pPr>
        <w:jc w:val="both"/>
        <w:rPr>
          <w:sz w:val="26"/>
          <w:szCs w:val="26"/>
        </w:rPr>
      </w:pPr>
    </w:p>
    <w:p w:rsidR="00CF6343" w:rsidRPr="00CF6343" w:rsidRDefault="00CF6343" w:rsidP="00CF6343">
      <w:pPr>
        <w:jc w:val="both"/>
        <w:rPr>
          <w:sz w:val="26"/>
          <w:szCs w:val="26"/>
        </w:rPr>
      </w:pPr>
      <w:r w:rsidRPr="00CF6343">
        <w:rPr>
          <w:sz w:val="26"/>
          <w:szCs w:val="26"/>
        </w:rPr>
        <w:t xml:space="preserve">* Giấy tờ phải xuất trình: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CF6343" w:rsidRPr="00CF6343" w:rsidTr="00CF6343">
        <w:trPr>
          <w:tblHeader/>
          <w:tblCellSpacing w:w="15" w:type="dxa"/>
        </w:trPr>
        <w:tc>
          <w:tcPr>
            <w:tcW w:w="3250" w:type="pct"/>
            <w:vAlign w:val="center"/>
            <w:hideMark/>
          </w:tcPr>
          <w:p w:rsidR="00CF6343" w:rsidRPr="00CF6343" w:rsidRDefault="00CF6343" w:rsidP="00CF6343">
            <w:pPr>
              <w:jc w:val="both"/>
              <w:rPr>
                <w:b/>
                <w:bCs/>
                <w:sz w:val="26"/>
                <w:szCs w:val="26"/>
              </w:rPr>
            </w:pPr>
            <w:r w:rsidRPr="00CF6343">
              <w:rPr>
                <w:b/>
                <w:bCs/>
                <w:sz w:val="26"/>
                <w:szCs w:val="26"/>
              </w:rPr>
              <w:t>Tên giấy tờ</w:t>
            </w:r>
          </w:p>
        </w:tc>
        <w:tc>
          <w:tcPr>
            <w:tcW w:w="750" w:type="pct"/>
            <w:vAlign w:val="center"/>
            <w:hideMark/>
          </w:tcPr>
          <w:p w:rsidR="00CF6343" w:rsidRPr="00CF6343" w:rsidRDefault="00CF6343" w:rsidP="00CF6343">
            <w:pPr>
              <w:jc w:val="both"/>
              <w:rPr>
                <w:b/>
                <w:bCs/>
                <w:sz w:val="26"/>
                <w:szCs w:val="26"/>
              </w:rPr>
            </w:pPr>
            <w:r w:rsidRPr="00CF6343">
              <w:rPr>
                <w:b/>
                <w:bCs/>
                <w:sz w:val="26"/>
                <w:szCs w:val="26"/>
              </w:rPr>
              <w:t>Mẫu đơn, tờ khai</w:t>
            </w:r>
          </w:p>
        </w:tc>
        <w:tc>
          <w:tcPr>
            <w:tcW w:w="1000" w:type="pct"/>
            <w:vAlign w:val="center"/>
            <w:hideMark/>
          </w:tcPr>
          <w:p w:rsidR="00CF6343" w:rsidRPr="00CF6343" w:rsidRDefault="00CF6343" w:rsidP="00CF6343">
            <w:pPr>
              <w:jc w:val="both"/>
              <w:rPr>
                <w:b/>
                <w:bCs/>
                <w:sz w:val="26"/>
                <w:szCs w:val="26"/>
              </w:rPr>
            </w:pPr>
            <w:r w:rsidRPr="00CF6343">
              <w:rPr>
                <w:b/>
                <w:bCs/>
                <w:sz w:val="26"/>
                <w:szCs w:val="26"/>
              </w:rPr>
              <w:t>Số lượng</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tc>
        <w:tc>
          <w:tcPr>
            <w:tcW w:w="0" w:type="auto"/>
            <w:vAlign w:val="center"/>
            <w:hideMark/>
          </w:tcPr>
          <w:p w:rsidR="00CF6343" w:rsidRPr="00CF6343" w:rsidRDefault="00CF6343" w:rsidP="00CF6343">
            <w:pPr>
              <w:jc w:val="both"/>
              <w:rPr>
                <w:sz w:val="26"/>
                <w:szCs w:val="26"/>
              </w:rPr>
            </w:pPr>
          </w:p>
        </w:tc>
        <w:tc>
          <w:tcPr>
            <w:tcW w:w="0" w:type="auto"/>
            <w:vAlign w:val="center"/>
            <w:hideMark/>
          </w:tcPr>
          <w:p w:rsidR="00CF6343" w:rsidRPr="00CF6343" w:rsidRDefault="00CF6343" w:rsidP="00CF6343">
            <w:pPr>
              <w:jc w:val="both"/>
              <w:rPr>
                <w:sz w:val="26"/>
                <w:szCs w:val="26"/>
              </w:rPr>
            </w:pPr>
            <w:r w:rsidRPr="00CF6343">
              <w:rPr>
                <w:sz w:val="26"/>
                <w:szCs w:val="26"/>
              </w:rPr>
              <w:t>Bản chính: 1</w:t>
            </w:r>
            <w:r w:rsidRPr="00CF6343">
              <w:rPr>
                <w:sz w:val="26"/>
                <w:szCs w:val="26"/>
              </w:rPr>
              <w:br/>
              <w:t>Bản sao: 0</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t>- Giấy tờ chứng minh nơi cư trú để chứng minh thẩm quyền đăng ký khai sinh; trường hợp cha, mẹ của trẻ đã đăng ký kết hôn thì phải xuất trình Giấy chứng nhận kết hôn (trong giai đoạn chuyển tiếp).</w:t>
            </w:r>
          </w:p>
        </w:tc>
        <w:tc>
          <w:tcPr>
            <w:tcW w:w="0" w:type="auto"/>
            <w:vAlign w:val="center"/>
            <w:hideMark/>
          </w:tcPr>
          <w:p w:rsidR="00CF6343" w:rsidRPr="00CF6343" w:rsidRDefault="00CF6343" w:rsidP="00CF6343">
            <w:pPr>
              <w:jc w:val="both"/>
              <w:rPr>
                <w:sz w:val="26"/>
                <w:szCs w:val="26"/>
              </w:rPr>
            </w:pPr>
          </w:p>
        </w:tc>
        <w:tc>
          <w:tcPr>
            <w:tcW w:w="0" w:type="auto"/>
            <w:vAlign w:val="center"/>
            <w:hideMark/>
          </w:tcPr>
          <w:p w:rsidR="00CF6343" w:rsidRPr="00CF6343" w:rsidRDefault="00CF6343" w:rsidP="00CF6343">
            <w:pPr>
              <w:jc w:val="both"/>
              <w:rPr>
                <w:sz w:val="26"/>
                <w:szCs w:val="26"/>
              </w:rPr>
            </w:pPr>
            <w:r w:rsidRPr="00CF6343">
              <w:rPr>
                <w:sz w:val="26"/>
                <w:szCs w:val="26"/>
              </w:rPr>
              <w:t>Bản chính: 1</w:t>
            </w:r>
            <w:r w:rsidRPr="00CF6343">
              <w:rPr>
                <w:sz w:val="26"/>
                <w:szCs w:val="26"/>
              </w:rPr>
              <w:br/>
              <w:t>Bản sao: 0</w:t>
            </w:r>
          </w:p>
        </w:tc>
      </w:tr>
    </w:tbl>
    <w:p w:rsidR="00CF6343" w:rsidRPr="00CF6343" w:rsidRDefault="00CF6343" w:rsidP="00CF6343">
      <w:pPr>
        <w:jc w:val="both"/>
        <w:rPr>
          <w:sz w:val="26"/>
          <w:szCs w:val="26"/>
        </w:rPr>
      </w:pPr>
    </w:p>
    <w:p w:rsidR="00CF6343" w:rsidRPr="00CF6343" w:rsidRDefault="00CF6343" w:rsidP="00CF6343">
      <w:pPr>
        <w:jc w:val="both"/>
        <w:rPr>
          <w:sz w:val="26"/>
          <w:szCs w:val="26"/>
        </w:rPr>
      </w:pPr>
      <w:r w:rsidRPr="00CF6343">
        <w:rPr>
          <w:sz w:val="26"/>
          <w:szCs w:val="26"/>
        </w:rPr>
        <w:t xml:space="preserve">Đối tượng thực hiện: </w:t>
      </w:r>
    </w:p>
    <w:p w:rsidR="00CF6343" w:rsidRPr="00CF6343" w:rsidRDefault="00CF6343" w:rsidP="00CF6343">
      <w:pPr>
        <w:jc w:val="both"/>
        <w:rPr>
          <w:sz w:val="26"/>
          <w:szCs w:val="26"/>
        </w:rPr>
      </w:pPr>
      <w:r w:rsidRPr="00CF6343">
        <w:rPr>
          <w:sz w:val="26"/>
          <w:szCs w:val="26"/>
        </w:rPr>
        <w:t xml:space="preserve">Công dân Việt Nam </w:t>
      </w:r>
    </w:p>
    <w:p w:rsidR="00CF6343" w:rsidRPr="00CF6343" w:rsidRDefault="00CF6343" w:rsidP="00CF6343">
      <w:pPr>
        <w:jc w:val="both"/>
        <w:rPr>
          <w:sz w:val="26"/>
          <w:szCs w:val="26"/>
        </w:rPr>
      </w:pPr>
      <w:r w:rsidRPr="00CF6343">
        <w:rPr>
          <w:sz w:val="26"/>
          <w:szCs w:val="26"/>
        </w:rPr>
        <w:t xml:space="preserve">Cơ quan thực hiện: </w:t>
      </w:r>
    </w:p>
    <w:p w:rsidR="00CF6343" w:rsidRPr="00CF6343" w:rsidRDefault="00CF6343" w:rsidP="00CF6343">
      <w:pPr>
        <w:jc w:val="both"/>
        <w:rPr>
          <w:sz w:val="26"/>
          <w:szCs w:val="26"/>
        </w:rPr>
      </w:pPr>
      <w:r w:rsidRPr="00CF6343">
        <w:rPr>
          <w:sz w:val="26"/>
          <w:szCs w:val="26"/>
        </w:rPr>
        <w:t xml:space="preserve">Ủy ban nhân dân cấp xã </w:t>
      </w:r>
    </w:p>
    <w:p w:rsidR="00CF6343" w:rsidRPr="00CF6343" w:rsidRDefault="00CF6343" w:rsidP="00CF6343">
      <w:pPr>
        <w:jc w:val="both"/>
        <w:rPr>
          <w:sz w:val="26"/>
          <w:szCs w:val="26"/>
        </w:rPr>
      </w:pPr>
      <w:r w:rsidRPr="00CF6343">
        <w:rPr>
          <w:sz w:val="26"/>
          <w:szCs w:val="26"/>
        </w:rPr>
        <w:t xml:space="preserve">Cơ quan có thẩm quyền: </w:t>
      </w:r>
    </w:p>
    <w:p w:rsidR="00CF6343" w:rsidRPr="00CF6343" w:rsidRDefault="00CF6343" w:rsidP="00CF6343">
      <w:pPr>
        <w:jc w:val="both"/>
        <w:rPr>
          <w:sz w:val="26"/>
          <w:szCs w:val="26"/>
        </w:rPr>
      </w:pPr>
      <w:r w:rsidRPr="00CF6343">
        <w:rPr>
          <w:sz w:val="26"/>
          <w:szCs w:val="26"/>
        </w:rPr>
        <w:t xml:space="preserve">Ủy ban nhân dân cấp xã </w:t>
      </w:r>
    </w:p>
    <w:p w:rsidR="00CF6343" w:rsidRPr="00CF6343" w:rsidRDefault="00CF6343" w:rsidP="00CF6343">
      <w:pPr>
        <w:jc w:val="both"/>
        <w:rPr>
          <w:sz w:val="26"/>
          <w:szCs w:val="26"/>
        </w:rPr>
      </w:pPr>
      <w:r w:rsidRPr="00CF6343">
        <w:rPr>
          <w:sz w:val="26"/>
          <w:szCs w:val="26"/>
        </w:rPr>
        <w:t xml:space="preserve">Địa chỉ tiếp nhận HS: </w:t>
      </w:r>
    </w:p>
    <w:p w:rsidR="00CF6343" w:rsidRPr="00CF6343" w:rsidRDefault="00CF6343" w:rsidP="00CF6343">
      <w:pPr>
        <w:jc w:val="both"/>
        <w:rPr>
          <w:sz w:val="26"/>
          <w:szCs w:val="26"/>
        </w:rPr>
      </w:pPr>
      <w:r w:rsidRPr="00CF6343">
        <w:rPr>
          <w:sz w:val="26"/>
          <w:szCs w:val="26"/>
        </w:rPr>
        <w:t xml:space="preserve">Tại nhà riêng của công dân hoặc tại địa điểm tổ chức đăng ký lưu động </w:t>
      </w:r>
    </w:p>
    <w:p w:rsidR="00CF6343" w:rsidRPr="00CF6343" w:rsidRDefault="00CF6343" w:rsidP="00CF6343">
      <w:pPr>
        <w:jc w:val="both"/>
        <w:rPr>
          <w:sz w:val="26"/>
          <w:szCs w:val="26"/>
        </w:rPr>
      </w:pPr>
      <w:r w:rsidRPr="00CF6343">
        <w:rPr>
          <w:sz w:val="26"/>
          <w:szCs w:val="26"/>
        </w:rPr>
        <w:t xml:space="preserve">Cơ quan được ủy quyền: </w:t>
      </w:r>
    </w:p>
    <w:p w:rsidR="00CF6343" w:rsidRPr="00CF6343" w:rsidRDefault="00CF6343" w:rsidP="00CF6343">
      <w:pPr>
        <w:jc w:val="both"/>
        <w:rPr>
          <w:sz w:val="26"/>
          <w:szCs w:val="26"/>
        </w:rPr>
      </w:pPr>
      <w:r w:rsidRPr="00CF6343">
        <w:rPr>
          <w:sz w:val="26"/>
          <w:szCs w:val="26"/>
        </w:rPr>
        <w:t xml:space="preserve">Không có thông tin </w:t>
      </w:r>
    </w:p>
    <w:p w:rsidR="00CF6343" w:rsidRPr="00CF6343" w:rsidRDefault="00CF6343" w:rsidP="00CF6343">
      <w:pPr>
        <w:jc w:val="both"/>
        <w:rPr>
          <w:sz w:val="26"/>
          <w:szCs w:val="26"/>
        </w:rPr>
      </w:pPr>
      <w:r w:rsidRPr="00CF6343">
        <w:rPr>
          <w:sz w:val="26"/>
          <w:szCs w:val="26"/>
        </w:rPr>
        <w:t xml:space="preserve">Cơ quan phối hợp: </w:t>
      </w:r>
    </w:p>
    <w:p w:rsidR="00CF6343" w:rsidRPr="00CF6343" w:rsidRDefault="00CF6343" w:rsidP="00CF6343">
      <w:pPr>
        <w:jc w:val="both"/>
        <w:rPr>
          <w:sz w:val="26"/>
          <w:szCs w:val="26"/>
        </w:rPr>
      </w:pPr>
      <w:r w:rsidRPr="00CF6343">
        <w:rPr>
          <w:sz w:val="26"/>
          <w:szCs w:val="26"/>
        </w:rPr>
        <w:t xml:space="preserve">Không có thông tin </w:t>
      </w:r>
    </w:p>
    <w:p w:rsidR="00CF6343" w:rsidRPr="00CF6343" w:rsidRDefault="00CF6343" w:rsidP="00CF6343">
      <w:pPr>
        <w:jc w:val="both"/>
        <w:rPr>
          <w:sz w:val="26"/>
          <w:szCs w:val="26"/>
        </w:rPr>
      </w:pPr>
      <w:r w:rsidRPr="00CF6343">
        <w:rPr>
          <w:sz w:val="26"/>
          <w:szCs w:val="26"/>
        </w:rPr>
        <w:t xml:space="preserve">Kết quả thực hiện: </w:t>
      </w:r>
    </w:p>
    <w:p w:rsidR="00CF6343" w:rsidRPr="00CF6343" w:rsidRDefault="00CF6343" w:rsidP="00CF6343">
      <w:pPr>
        <w:jc w:val="both"/>
        <w:rPr>
          <w:sz w:val="26"/>
          <w:szCs w:val="26"/>
        </w:rPr>
      </w:pPr>
      <w:r w:rsidRPr="00CF6343">
        <w:rPr>
          <w:sz w:val="26"/>
          <w:szCs w:val="26"/>
        </w:rPr>
        <w:t xml:space="preserve">Giấy khai sinh (bản chính). </w:t>
      </w:r>
    </w:p>
    <w:p w:rsidR="00CF6343" w:rsidRPr="00CF6343" w:rsidRDefault="00CF6343" w:rsidP="00CF6343">
      <w:pPr>
        <w:jc w:val="both"/>
        <w:rPr>
          <w:sz w:val="26"/>
          <w:szCs w:val="26"/>
        </w:rPr>
      </w:pPr>
      <w:r w:rsidRPr="00CF6343">
        <w:rPr>
          <w:sz w:val="26"/>
          <w:szCs w:val="26"/>
        </w:rPr>
        <w:t xml:space="preserve">Căn cứ pháp lý: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8"/>
        <w:gridCol w:w="4085"/>
        <w:gridCol w:w="931"/>
        <w:gridCol w:w="2298"/>
      </w:tblGrid>
      <w:tr w:rsidR="00CF6343" w:rsidRPr="00CF6343" w:rsidTr="00CF6343">
        <w:trPr>
          <w:tblHeader/>
          <w:tblCellSpacing w:w="15" w:type="dxa"/>
        </w:trPr>
        <w:tc>
          <w:tcPr>
            <w:tcW w:w="1000" w:type="pct"/>
            <w:vAlign w:val="center"/>
            <w:hideMark/>
          </w:tcPr>
          <w:p w:rsidR="00CF6343" w:rsidRPr="00CF6343" w:rsidRDefault="00CF6343" w:rsidP="00CF6343">
            <w:pPr>
              <w:jc w:val="both"/>
              <w:rPr>
                <w:b/>
                <w:bCs/>
                <w:sz w:val="26"/>
                <w:szCs w:val="26"/>
              </w:rPr>
            </w:pPr>
            <w:r w:rsidRPr="00CF6343">
              <w:rPr>
                <w:b/>
                <w:bCs/>
                <w:sz w:val="26"/>
                <w:szCs w:val="26"/>
              </w:rPr>
              <w:t>Số ký hiệu</w:t>
            </w:r>
          </w:p>
        </w:tc>
        <w:tc>
          <w:tcPr>
            <w:tcW w:w="2250" w:type="pct"/>
            <w:vAlign w:val="center"/>
            <w:hideMark/>
          </w:tcPr>
          <w:p w:rsidR="00CF6343" w:rsidRPr="00CF6343" w:rsidRDefault="00CF6343" w:rsidP="00CF6343">
            <w:pPr>
              <w:jc w:val="both"/>
              <w:rPr>
                <w:b/>
                <w:bCs/>
                <w:sz w:val="26"/>
                <w:szCs w:val="26"/>
              </w:rPr>
            </w:pPr>
            <w:r w:rsidRPr="00CF6343">
              <w:rPr>
                <w:b/>
                <w:bCs/>
                <w:sz w:val="26"/>
                <w:szCs w:val="26"/>
              </w:rPr>
              <w:t>Trích yếu</w:t>
            </w:r>
          </w:p>
        </w:tc>
        <w:tc>
          <w:tcPr>
            <w:tcW w:w="500" w:type="pct"/>
            <w:vAlign w:val="center"/>
            <w:hideMark/>
          </w:tcPr>
          <w:p w:rsidR="00CF6343" w:rsidRPr="00CF6343" w:rsidRDefault="00CF6343" w:rsidP="00CF6343">
            <w:pPr>
              <w:jc w:val="both"/>
              <w:rPr>
                <w:b/>
                <w:bCs/>
                <w:sz w:val="26"/>
                <w:szCs w:val="26"/>
              </w:rPr>
            </w:pPr>
            <w:r w:rsidRPr="00CF6343">
              <w:rPr>
                <w:b/>
                <w:bCs/>
                <w:sz w:val="26"/>
                <w:szCs w:val="26"/>
              </w:rPr>
              <w:t>Ngày ban hành</w:t>
            </w:r>
          </w:p>
        </w:tc>
        <w:tc>
          <w:tcPr>
            <w:tcW w:w="1250" w:type="pct"/>
            <w:vAlign w:val="center"/>
            <w:hideMark/>
          </w:tcPr>
          <w:p w:rsidR="00CF6343" w:rsidRPr="00CF6343" w:rsidRDefault="00CF6343" w:rsidP="00CF6343">
            <w:pPr>
              <w:jc w:val="both"/>
              <w:rPr>
                <w:b/>
                <w:bCs/>
                <w:sz w:val="26"/>
                <w:szCs w:val="26"/>
              </w:rPr>
            </w:pPr>
            <w:r w:rsidRPr="00CF6343">
              <w:rPr>
                <w:b/>
                <w:bCs/>
                <w:sz w:val="26"/>
                <w:szCs w:val="26"/>
              </w:rPr>
              <w:t>Cơ quan ban hành</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t>123/2015/NĐ-CP</w:t>
            </w:r>
          </w:p>
        </w:tc>
        <w:tc>
          <w:tcPr>
            <w:tcW w:w="0" w:type="auto"/>
            <w:vAlign w:val="center"/>
            <w:hideMark/>
          </w:tcPr>
          <w:p w:rsidR="00CF6343" w:rsidRPr="00CF6343" w:rsidRDefault="00CF6343" w:rsidP="00CF6343">
            <w:pPr>
              <w:jc w:val="both"/>
              <w:rPr>
                <w:sz w:val="26"/>
                <w:szCs w:val="26"/>
              </w:rPr>
            </w:pPr>
            <w:r w:rsidRPr="00CF6343">
              <w:rPr>
                <w:sz w:val="26"/>
                <w:szCs w:val="26"/>
              </w:rPr>
              <w:t xml:space="preserve">Nghị định 123/2015/NĐ-CP - Quy định chi tiết một số điều và biện pháp </w:t>
            </w:r>
            <w:r w:rsidRPr="00CF6343">
              <w:rPr>
                <w:sz w:val="26"/>
                <w:szCs w:val="26"/>
              </w:rPr>
              <w:lastRenderedPageBreak/>
              <w:t>thi hành Luật Hộ tịch</w:t>
            </w:r>
          </w:p>
        </w:tc>
        <w:tc>
          <w:tcPr>
            <w:tcW w:w="0" w:type="auto"/>
            <w:vAlign w:val="center"/>
            <w:hideMark/>
          </w:tcPr>
          <w:p w:rsidR="00CF6343" w:rsidRPr="00CF6343" w:rsidRDefault="00CF6343" w:rsidP="00CF6343">
            <w:pPr>
              <w:jc w:val="both"/>
              <w:rPr>
                <w:sz w:val="26"/>
                <w:szCs w:val="26"/>
              </w:rPr>
            </w:pPr>
            <w:r w:rsidRPr="00CF6343">
              <w:rPr>
                <w:sz w:val="26"/>
                <w:szCs w:val="26"/>
              </w:rPr>
              <w:lastRenderedPageBreak/>
              <w:t>15-11-2015</w:t>
            </w:r>
          </w:p>
        </w:tc>
        <w:tc>
          <w:tcPr>
            <w:tcW w:w="0" w:type="auto"/>
            <w:vAlign w:val="center"/>
            <w:hideMark/>
          </w:tcPr>
          <w:p w:rsidR="00CF6343" w:rsidRPr="00CF6343" w:rsidRDefault="00CF6343" w:rsidP="00CF6343">
            <w:pPr>
              <w:jc w:val="both"/>
              <w:rPr>
                <w:sz w:val="26"/>
                <w:szCs w:val="26"/>
              </w:rPr>
            </w:pPr>
            <w:r w:rsidRPr="00CF6343">
              <w:rPr>
                <w:sz w:val="26"/>
                <w:szCs w:val="26"/>
              </w:rPr>
              <w:t>Chính phủ</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lastRenderedPageBreak/>
              <w:t>15/2015/TT-BTP</w:t>
            </w:r>
          </w:p>
        </w:tc>
        <w:tc>
          <w:tcPr>
            <w:tcW w:w="0" w:type="auto"/>
            <w:vAlign w:val="center"/>
            <w:hideMark/>
          </w:tcPr>
          <w:p w:rsidR="00CF6343" w:rsidRPr="00CF6343" w:rsidRDefault="00CF6343" w:rsidP="00CF6343">
            <w:pPr>
              <w:jc w:val="both"/>
              <w:rPr>
                <w:sz w:val="26"/>
                <w:szCs w:val="26"/>
              </w:rPr>
            </w:pPr>
            <w:r w:rsidRPr="00CF6343">
              <w:rPr>
                <w:sz w:val="26"/>
                <w:szCs w:val="26"/>
              </w:rPr>
              <w:t>Thông tư 15/2015/TT-BTP - Quy định chi tiết thi hành một số điều của Luật hộ tịch và Nghị định số 123/2015/NĐ-CP ngày 15 tháng 11 năm 2015 của Chính phủ quy định chi tiết một số điều và biện pháp thi hành Luật hộ tịch</w:t>
            </w:r>
          </w:p>
        </w:tc>
        <w:tc>
          <w:tcPr>
            <w:tcW w:w="0" w:type="auto"/>
            <w:vAlign w:val="center"/>
            <w:hideMark/>
          </w:tcPr>
          <w:p w:rsidR="00CF6343" w:rsidRPr="00CF6343" w:rsidRDefault="00CF6343" w:rsidP="00CF6343">
            <w:pPr>
              <w:jc w:val="both"/>
              <w:rPr>
                <w:sz w:val="26"/>
                <w:szCs w:val="26"/>
              </w:rPr>
            </w:pPr>
            <w:r w:rsidRPr="00CF6343">
              <w:rPr>
                <w:sz w:val="26"/>
                <w:szCs w:val="26"/>
              </w:rPr>
              <w:t>16-11-2015</w:t>
            </w:r>
          </w:p>
        </w:tc>
        <w:tc>
          <w:tcPr>
            <w:tcW w:w="0" w:type="auto"/>
            <w:vAlign w:val="center"/>
            <w:hideMark/>
          </w:tcPr>
          <w:p w:rsidR="00CF6343" w:rsidRPr="00CF6343" w:rsidRDefault="00CF6343" w:rsidP="00CF6343">
            <w:pPr>
              <w:jc w:val="both"/>
              <w:rPr>
                <w:sz w:val="26"/>
                <w:szCs w:val="26"/>
              </w:rPr>
            </w:pPr>
            <w:r w:rsidRPr="00CF6343">
              <w:rPr>
                <w:sz w:val="26"/>
                <w:szCs w:val="26"/>
              </w:rPr>
              <w:t>Bộ Tư pháp</w:t>
            </w:r>
          </w:p>
        </w:tc>
      </w:tr>
      <w:tr w:rsidR="00CF6343" w:rsidRPr="00CF6343" w:rsidTr="00CF6343">
        <w:trPr>
          <w:tblCellSpacing w:w="15" w:type="dxa"/>
        </w:trPr>
        <w:tc>
          <w:tcPr>
            <w:tcW w:w="0" w:type="auto"/>
            <w:vAlign w:val="center"/>
            <w:hideMark/>
          </w:tcPr>
          <w:p w:rsidR="00CF6343" w:rsidRPr="00CF6343" w:rsidRDefault="00CF6343" w:rsidP="00CF6343">
            <w:pPr>
              <w:jc w:val="both"/>
              <w:rPr>
                <w:sz w:val="26"/>
                <w:szCs w:val="26"/>
              </w:rPr>
            </w:pPr>
            <w:r w:rsidRPr="00CF6343">
              <w:rPr>
                <w:sz w:val="26"/>
                <w:szCs w:val="26"/>
              </w:rPr>
              <w:t>60/2014/QH13</w:t>
            </w:r>
          </w:p>
        </w:tc>
        <w:tc>
          <w:tcPr>
            <w:tcW w:w="0" w:type="auto"/>
            <w:vAlign w:val="center"/>
            <w:hideMark/>
          </w:tcPr>
          <w:p w:rsidR="00CF6343" w:rsidRPr="00CF6343" w:rsidRDefault="00CF6343" w:rsidP="00CF6343">
            <w:pPr>
              <w:jc w:val="both"/>
              <w:rPr>
                <w:sz w:val="26"/>
                <w:szCs w:val="26"/>
              </w:rPr>
            </w:pPr>
            <w:r w:rsidRPr="00CF6343">
              <w:rPr>
                <w:sz w:val="26"/>
                <w:szCs w:val="26"/>
              </w:rPr>
              <w:t>Luật 60/2014/QH13-Hộ tịch</w:t>
            </w:r>
          </w:p>
        </w:tc>
        <w:tc>
          <w:tcPr>
            <w:tcW w:w="0" w:type="auto"/>
            <w:vAlign w:val="center"/>
            <w:hideMark/>
          </w:tcPr>
          <w:p w:rsidR="00CF6343" w:rsidRPr="00CF6343" w:rsidRDefault="00CF6343" w:rsidP="00CF6343">
            <w:pPr>
              <w:jc w:val="both"/>
              <w:rPr>
                <w:sz w:val="26"/>
                <w:szCs w:val="26"/>
              </w:rPr>
            </w:pPr>
            <w:r w:rsidRPr="00CF6343">
              <w:rPr>
                <w:sz w:val="26"/>
                <w:szCs w:val="26"/>
              </w:rPr>
              <w:t>20-11-2014</w:t>
            </w:r>
          </w:p>
        </w:tc>
        <w:tc>
          <w:tcPr>
            <w:tcW w:w="0" w:type="auto"/>
            <w:vAlign w:val="center"/>
            <w:hideMark/>
          </w:tcPr>
          <w:p w:rsidR="00CF6343" w:rsidRPr="00CF6343" w:rsidRDefault="00CF6343" w:rsidP="00CF6343">
            <w:pPr>
              <w:jc w:val="both"/>
              <w:rPr>
                <w:sz w:val="26"/>
                <w:szCs w:val="26"/>
              </w:rPr>
            </w:pPr>
          </w:p>
        </w:tc>
      </w:tr>
    </w:tbl>
    <w:p w:rsidR="00CF6343" w:rsidRPr="00CF6343" w:rsidRDefault="00CF6343" w:rsidP="00CF6343">
      <w:pPr>
        <w:jc w:val="both"/>
        <w:rPr>
          <w:sz w:val="26"/>
          <w:szCs w:val="26"/>
        </w:rPr>
      </w:pPr>
      <w:r w:rsidRPr="00CF6343">
        <w:rPr>
          <w:sz w:val="26"/>
          <w:szCs w:val="26"/>
        </w:rPr>
        <w:t xml:space="preserve">Yêu cầu, điều kiện thực hiện: </w:t>
      </w:r>
    </w:p>
    <w:p w:rsidR="00CF6343" w:rsidRPr="00CF6343" w:rsidRDefault="00CF6343" w:rsidP="00CF6343">
      <w:pPr>
        <w:jc w:val="both"/>
        <w:rPr>
          <w:sz w:val="26"/>
          <w:szCs w:val="26"/>
        </w:rPr>
      </w:pPr>
      <w:r w:rsidRPr="00CF6343">
        <w:rPr>
          <w:sz w:val="26"/>
          <w:szCs w:val="26"/>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rsidR="00186692" w:rsidRPr="00CF6343" w:rsidRDefault="00186692" w:rsidP="00CF6343">
      <w:pPr>
        <w:jc w:val="both"/>
        <w:rPr>
          <w:sz w:val="26"/>
          <w:szCs w:val="26"/>
        </w:rPr>
      </w:pPr>
    </w:p>
    <w:sectPr w:rsidR="00186692" w:rsidRPr="00CF6343" w:rsidSect="001866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43"/>
    <w:rsid w:val="00186692"/>
    <w:rsid w:val="00C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F6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F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92601">
      <w:bodyDiv w:val="1"/>
      <w:marLeft w:val="0"/>
      <w:marRight w:val="0"/>
      <w:marTop w:val="0"/>
      <w:marBottom w:val="0"/>
      <w:divBdr>
        <w:top w:val="none" w:sz="0" w:space="0" w:color="auto"/>
        <w:left w:val="none" w:sz="0" w:space="0" w:color="auto"/>
        <w:bottom w:val="none" w:sz="0" w:space="0" w:color="auto"/>
        <w:right w:val="none" w:sz="0" w:space="0" w:color="auto"/>
      </w:divBdr>
      <w:divsChild>
        <w:div w:id="2040426851">
          <w:marLeft w:val="0"/>
          <w:marRight w:val="0"/>
          <w:marTop w:val="0"/>
          <w:marBottom w:val="0"/>
          <w:divBdr>
            <w:top w:val="none" w:sz="0" w:space="0" w:color="auto"/>
            <w:left w:val="none" w:sz="0" w:space="0" w:color="auto"/>
            <w:bottom w:val="none" w:sz="0" w:space="0" w:color="auto"/>
            <w:right w:val="none" w:sz="0" w:space="0" w:color="auto"/>
          </w:divBdr>
          <w:divsChild>
            <w:div w:id="756637366">
              <w:marLeft w:val="0"/>
              <w:marRight w:val="0"/>
              <w:marTop w:val="0"/>
              <w:marBottom w:val="0"/>
              <w:divBdr>
                <w:top w:val="none" w:sz="0" w:space="0" w:color="auto"/>
                <w:left w:val="none" w:sz="0" w:space="0" w:color="auto"/>
                <w:bottom w:val="none" w:sz="0" w:space="0" w:color="auto"/>
                <w:right w:val="none" w:sz="0" w:space="0" w:color="auto"/>
              </w:divBdr>
            </w:div>
            <w:div w:id="562567676">
              <w:marLeft w:val="0"/>
              <w:marRight w:val="0"/>
              <w:marTop w:val="0"/>
              <w:marBottom w:val="0"/>
              <w:divBdr>
                <w:top w:val="none" w:sz="0" w:space="0" w:color="auto"/>
                <w:left w:val="none" w:sz="0" w:space="0" w:color="auto"/>
                <w:bottom w:val="none" w:sz="0" w:space="0" w:color="auto"/>
                <w:right w:val="none" w:sz="0" w:space="0" w:color="auto"/>
              </w:divBdr>
            </w:div>
          </w:divsChild>
        </w:div>
        <w:div w:id="1582059392">
          <w:marLeft w:val="0"/>
          <w:marRight w:val="0"/>
          <w:marTop w:val="0"/>
          <w:marBottom w:val="0"/>
          <w:divBdr>
            <w:top w:val="none" w:sz="0" w:space="0" w:color="auto"/>
            <w:left w:val="none" w:sz="0" w:space="0" w:color="auto"/>
            <w:bottom w:val="none" w:sz="0" w:space="0" w:color="auto"/>
            <w:right w:val="none" w:sz="0" w:space="0" w:color="auto"/>
          </w:divBdr>
          <w:divsChild>
            <w:div w:id="2125272530">
              <w:marLeft w:val="0"/>
              <w:marRight w:val="0"/>
              <w:marTop w:val="0"/>
              <w:marBottom w:val="0"/>
              <w:divBdr>
                <w:top w:val="none" w:sz="0" w:space="0" w:color="auto"/>
                <w:left w:val="none" w:sz="0" w:space="0" w:color="auto"/>
                <w:bottom w:val="none" w:sz="0" w:space="0" w:color="auto"/>
                <w:right w:val="none" w:sz="0" w:space="0" w:color="auto"/>
              </w:divBdr>
            </w:div>
            <w:div w:id="674842118">
              <w:marLeft w:val="0"/>
              <w:marRight w:val="0"/>
              <w:marTop w:val="0"/>
              <w:marBottom w:val="0"/>
              <w:divBdr>
                <w:top w:val="none" w:sz="0" w:space="0" w:color="auto"/>
                <w:left w:val="none" w:sz="0" w:space="0" w:color="auto"/>
                <w:bottom w:val="none" w:sz="0" w:space="0" w:color="auto"/>
                <w:right w:val="none" w:sz="0" w:space="0" w:color="auto"/>
              </w:divBdr>
            </w:div>
          </w:divsChild>
        </w:div>
        <w:div w:id="645936355">
          <w:marLeft w:val="0"/>
          <w:marRight w:val="0"/>
          <w:marTop w:val="0"/>
          <w:marBottom w:val="0"/>
          <w:divBdr>
            <w:top w:val="none" w:sz="0" w:space="0" w:color="auto"/>
            <w:left w:val="none" w:sz="0" w:space="0" w:color="auto"/>
            <w:bottom w:val="none" w:sz="0" w:space="0" w:color="auto"/>
            <w:right w:val="none" w:sz="0" w:space="0" w:color="auto"/>
          </w:divBdr>
          <w:divsChild>
            <w:div w:id="1848328638">
              <w:marLeft w:val="0"/>
              <w:marRight w:val="0"/>
              <w:marTop w:val="0"/>
              <w:marBottom w:val="0"/>
              <w:divBdr>
                <w:top w:val="none" w:sz="0" w:space="0" w:color="auto"/>
                <w:left w:val="none" w:sz="0" w:space="0" w:color="auto"/>
                <w:bottom w:val="none" w:sz="0" w:space="0" w:color="auto"/>
                <w:right w:val="none" w:sz="0" w:space="0" w:color="auto"/>
              </w:divBdr>
            </w:div>
            <w:div w:id="1074280930">
              <w:marLeft w:val="0"/>
              <w:marRight w:val="0"/>
              <w:marTop w:val="0"/>
              <w:marBottom w:val="0"/>
              <w:divBdr>
                <w:top w:val="none" w:sz="0" w:space="0" w:color="auto"/>
                <w:left w:val="none" w:sz="0" w:space="0" w:color="auto"/>
                <w:bottom w:val="none" w:sz="0" w:space="0" w:color="auto"/>
                <w:right w:val="none" w:sz="0" w:space="0" w:color="auto"/>
              </w:divBdr>
            </w:div>
          </w:divsChild>
        </w:div>
        <w:div w:id="98137233">
          <w:marLeft w:val="0"/>
          <w:marRight w:val="0"/>
          <w:marTop w:val="0"/>
          <w:marBottom w:val="0"/>
          <w:divBdr>
            <w:top w:val="none" w:sz="0" w:space="0" w:color="auto"/>
            <w:left w:val="none" w:sz="0" w:space="0" w:color="auto"/>
            <w:bottom w:val="none" w:sz="0" w:space="0" w:color="auto"/>
            <w:right w:val="none" w:sz="0" w:space="0" w:color="auto"/>
          </w:divBdr>
          <w:divsChild>
            <w:div w:id="231351545">
              <w:marLeft w:val="0"/>
              <w:marRight w:val="0"/>
              <w:marTop w:val="0"/>
              <w:marBottom w:val="0"/>
              <w:divBdr>
                <w:top w:val="none" w:sz="0" w:space="0" w:color="auto"/>
                <w:left w:val="none" w:sz="0" w:space="0" w:color="auto"/>
                <w:bottom w:val="none" w:sz="0" w:space="0" w:color="auto"/>
                <w:right w:val="none" w:sz="0" w:space="0" w:color="auto"/>
              </w:divBdr>
            </w:div>
            <w:div w:id="137191030">
              <w:marLeft w:val="0"/>
              <w:marRight w:val="0"/>
              <w:marTop w:val="0"/>
              <w:marBottom w:val="0"/>
              <w:divBdr>
                <w:top w:val="none" w:sz="0" w:space="0" w:color="auto"/>
                <w:left w:val="none" w:sz="0" w:space="0" w:color="auto"/>
                <w:bottom w:val="none" w:sz="0" w:space="0" w:color="auto"/>
                <w:right w:val="none" w:sz="0" w:space="0" w:color="auto"/>
              </w:divBdr>
            </w:div>
          </w:divsChild>
        </w:div>
        <w:div w:id="400370445">
          <w:marLeft w:val="0"/>
          <w:marRight w:val="0"/>
          <w:marTop w:val="0"/>
          <w:marBottom w:val="0"/>
          <w:divBdr>
            <w:top w:val="none" w:sz="0" w:space="0" w:color="auto"/>
            <w:left w:val="none" w:sz="0" w:space="0" w:color="auto"/>
            <w:bottom w:val="none" w:sz="0" w:space="0" w:color="auto"/>
            <w:right w:val="none" w:sz="0" w:space="0" w:color="auto"/>
          </w:divBdr>
          <w:divsChild>
            <w:div w:id="351298965">
              <w:marLeft w:val="0"/>
              <w:marRight w:val="0"/>
              <w:marTop w:val="0"/>
              <w:marBottom w:val="0"/>
              <w:divBdr>
                <w:top w:val="none" w:sz="0" w:space="0" w:color="auto"/>
                <w:left w:val="none" w:sz="0" w:space="0" w:color="auto"/>
                <w:bottom w:val="none" w:sz="0" w:space="0" w:color="auto"/>
                <w:right w:val="none" w:sz="0" w:space="0" w:color="auto"/>
              </w:divBdr>
            </w:div>
            <w:div w:id="623192808">
              <w:marLeft w:val="0"/>
              <w:marRight w:val="0"/>
              <w:marTop w:val="0"/>
              <w:marBottom w:val="0"/>
              <w:divBdr>
                <w:top w:val="none" w:sz="0" w:space="0" w:color="auto"/>
                <w:left w:val="none" w:sz="0" w:space="0" w:color="auto"/>
                <w:bottom w:val="none" w:sz="0" w:space="0" w:color="auto"/>
                <w:right w:val="none" w:sz="0" w:space="0" w:color="auto"/>
              </w:divBdr>
              <w:divsChild>
                <w:div w:id="790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7867">
          <w:marLeft w:val="0"/>
          <w:marRight w:val="0"/>
          <w:marTop w:val="0"/>
          <w:marBottom w:val="0"/>
          <w:divBdr>
            <w:top w:val="none" w:sz="0" w:space="0" w:color="auto"/>
            <w:left w:val="none" w:sz="0" w:space="0" w:color="auto"/>
            <w:bottom w:val="none" w:sz="0" w:space="0" w:color="auto"/>
            <w:right w:val="none" w:sz="0" w:space="0" w:color="auto"/>
          </w:divBdr>
          <w:divsChild>
            <w:div w:id="608662213">
              <w:marLeft w:val="0"/>
              <w:marRight w:val="0"/>
              <w:marTop w:val="0"/>
              <w:marBottom w:val="0"/>
              <w:divBdr>
                <w:top w:val="none" w:sz="0" w:space="0" w:color="auto"/>
                <w:left w:val="none" w:sz="0" w:space="0" w:color="auto"/>
                <w:bottom w:val="none" w:sz="0" w:space="0" w:color="auto"/>
                <w:right w:val="none" w:sz="0" w:space="0" w:color="auto"/>
              </w:divBdr>
            </w:div>
            <w:div w:id="1109543204">
              <w:marLeft w:val="0"/>
              <w:marRight w:val="0"/>
              <w:marTop w:val="0"/>
              <w:marBottom w:val="0"/>
              <w:divBdr>
                <w:top w:val="none" w:sz="0" w:space="0" w:color="auto"/>
                <w:left w:val="none" w:sz="0" w:space="0" w:color="auto"/>
                <w:bottom w:val="none" w:sz="0" w:space="0" w:color="auto"/>
                <w:right w:val="none" w:sz="0" w:space="0" w:color="auto"/>
              </w:divBdr>
              <w:divsChild>
                <w:div w:id="4974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1253">
          <w:marLeft w:val="0"/>
          <w:marRight w:val="0"/>
          <w:marTop w:val="0"/>
          <w:marBottom w:val="0"/>
          <w:divBdr>
            <w:top w:val="none" w:sz="0" w:space="0" w:color="auto"/>
            <w:left w:val="none" w:sz="0" w:space="0" w:color="auto"/>
            <w:bottom w:val="none" w:sz="0" w:space="0" w:color="auto"/>
            <w:right w:val="none" w:sz="0" w:space="0" w:color="auto"/>
          </w:divBdr>
          <w:divsChild>
            <w:div w:id="632949039">
              <w:marLeft w:val="0"/>
              <w:marRight w:val="0"/>
              <w:marTop w:val="0"/>
              <w:marBottom w:val="0"/>
              <w:divBdr>
                <w:top w:val="none" w:sz="0" w:space="0" w:color="auto"/>
                <w:left w:val="none" w:sz="0" w:space="0" w:color="auto"/>
                <w:bottom w:val="none" w:sz="0" w:space="0" w:color="auto"/>
                <w:right w:val="none" w:sz="0" w:space="0" w:color="auto"/>
              </w:divBdr>
            </w:div>
            <w:div w:id="804127600">
              <w:marLeft w:val="0"/>
              <w:marRight w:val="0"/>
              <w:marTop w:val="0"/>
              <w:marBottom w:val="0"/>
              <w:divBdr>
                <w:top w:val="none" w:sz="0" w:space="0" w:color="auto"/>
                <w:left w:val="none" w:sz="0" w:space="0" w:color="auto"/>
                <w:bottom w:val="none" w:sz="0" w:space="0" w:color="auto"/>
                <w:right w:val="none" w:sz="0" w:space="0" w:color="auto"/>
              </w:divBdr>
              <w:divsChild>
                <w:div w:id="1586836884">
                  <w:marLeft w:val="0"/>
                  <w:marRight w:val="0"/>
                  <w:marTop w:val="0"/>
                  <w:marBottom w:val="0"/>
                  <w:divBdr>
                    <w:top w:val="none" w:sz="0" w:space="0" w:color="auto"/>
                    <w:left w:val="none" w:sz="0" w:space="0" w:color="auto"/>
                    <w:bottom w:val="none" w:sz="0" w:space="0" w:color="auto"/>
                    <w:right w:val="none" w:sz="0" w:space="0" w:color="auto"/>
                  </w:divBdr>
                </w:div>
                <w:div w:id="8555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341">
          <w:marLeft w:val="0"/>
          <w:marRight w:val="0"/>
          <w:marTop w:val="0"/>
          <w:marBottom w:val="0"/>
          <w:divBdr>
            <w:top w:val="none" w:sz="0" w:space="0" w:color="auto"/>
            <w:left w:val="none" w:sz="0" w:space="0" w:color="auto"/>
            <w:bottom w:val="none" w:sz="0" w:space="0" w:color="auto"/>
            <w:right w:val="none" w:sz="0" w:space="0" w:color="auto"/>
          </w:divBdr>
          <w:divsChild>
            <w:div w:id="1357926051">
              <w:marLeft w:val="0"/>
              <w:marRight w:val="0"/>
              <w:marTop w:val="0"/>
              <w:marBottom w:val="0"/>
              <w:divBdr>
                <w:top w:val="none" w:sz="0" w:space="0" w:color="auto"/>
                <w:left w:val="none" w:sz="0" w:space="0" w:color="auto"/>
                <w:bottom w:val="none" w:sz="0" w:space="0" w:color="auto"/>
                <w:right w:val="none" w:sz="0" w:space="0" w:color="auto"/>
              </w:divBdr>
            </w:div>
            <w:div w:id="1783064712">
              <w:marLeft w:val="0"/>
              <w:marRight w:val="0"/>
              <w:marTop w:val="0"/>
              <w:marBottom w:val="0"/>
              <w:divBdr>
                <w:top w:val="none" w:sz="0" w:space="0" w:color="auto"/>
                <w:left w:val="none" w:sz="0" w:space="0" w:color="auto"/>
                <w:bottom w:val="none" w:sz="0" w:space="0" w:color="auto"/>
                <w:right w:val="none" w:sz="0" w:space="0" w:color="auto"/>
              </w:divBdr>
            </w:div>
          </w:divsChild>
        </w:div>
        <w:div w:id="1204903580">
          <w:marLeft w:val="0"/>
          <w:marRight w:val="0"/>
          <w:marTop w:val="0"/>
          <w:marBottom w:val="0"/>
          <w:divBdr>
            <w:top w:val="none" w:sz="0" w:space="0" w:color="auto"/>
            <w:left w:val="none" w:sz="0" w:space="0" w:color="auto"/>
            <w:bottom w:val="none" w:sz="0" w:space="0" w:color="auto"/>
            <w:right w:val="none" w:sz="0" w:space="0" w:color="auto"/>
          </w:divBdr>
          <w:divsChild>
            <w:div w:id="1039938851">
              <w:marLeft w:val="0"/>
              <w:marRight w:val="0"/>
              <w:marTop w:val="0"/>
              <w:marBottom w:val="0"/>
              <w:divBdr>
                <w:top w:val="none" w:sz="0" w:space="0" w:color="auto"/>
                <w:left w:val="none" w:sz="0" w:space="0" w:color="auto"/>
                <w:bottom w:val="none" w:sz="0" w:space="0" w:color="auto"/>
                <w:right w:val="none" w:sz="0" w:space="0" w:color="auto"/>
              </w:divBdr>
            </w:div>
            <w:div w:id="486093749">
              <w:marLeft w:val="0"/>
              <w:marRight w:val="0"/>
              <w:marTop w:val="0"/>
              <w:marBottom w:val="0"/>
              <w:divBdr>
                <w:top w:val="none" w:sz="0" w:space="0" w:color="auto"/>
                <w:left w:val="none" w:sz="0" w:space="0" w:color="auto"/>
                <w:bottom w:val="none" w:sz="0" w:space="0" w:color="auto"/>
                <w:right w:val="none" w:sz="0" w:space="0" w:color="auto"/>
              </w:divBdr>
            </w:div>
          </w:divsChild>
        </w:div>
        <w:div w:id="582682921">
          <w:marLeft w:val="0"/>
          <w:marRight w:val="0"/>
          <w:marTop w:val="0"/>
          <w:marBottom w:val="0"/>
          <w:divBdr>
            <w:top w:val="none" w:sz="0" w:space="0" w:color="auto"/>
            <w:left w:val="none" w:sz="0" w:space="0" w:color="auto"/>
            <w:bottom w:val="none" w:sz="0" w:space="0" w:color="auto"/>
            <w:right w:val="none" w:sz="0" w:space="0" w:color="auto"/>
          </w:divBdr>
          <w:divsChild>
            <w:div w:id="770324653">
              <w:marLeft w:val="0"/>
              <w:marRight w:val="0"/>
              <w:marTop w:val="0"/>
              <w:marBottom w:val="0"/>
              <w:divBdr>
                <w:top w:val="none" w:sz="0" w:space="0" w:color="auto"/>
                <w:left w:val="none" w:sz="0" w:space="0" w:color="auto"/>
                <w:bottom w:val="none" w:sz="0" w:space="0" w:color="auto"/>
                <w:right w:val="none" w:sz="0" w:space="0" w:color="auto"/>
              </w:divBdr>
            </w:div>
            <w:div w:id="1582567769">
              <w:marLeft w:val="0"/>
              <w:marRight w:val="0"/>
              <w:marTop w:val="0"/>
              <w:marBottom w:val="0"/>
              <w:divBdr>
                <w:top w:val="none" w:sz="0" w:space="0" w:color="auto"/>
                <w:left w:val="none" w:sz="0" w:space="0" w:color="auto"/>
                <w:bottom w:val="none" w:sz="0" w:space="0" w:color="auto"/>
                <w:right w:val="none" w:sz="0" w:space="0" w:color="auto"/>
              </w:divBdr>
            </w:div>
          </w:divsChild>
        </w:div>
        <w:div w:id="567574121">
          <w:marLeft w:val="0"/>
          <w:marRight w:val="0"/>
          <w:marTop w:val="0"/>
          <w:marBottom w:val="0"/>
          <w:divBdr>
            <w:top w:val="none" w:sz="0" w:space="0" w:color="auto"/>
            <w:left w:val="none" w:sz="0" w:space="0" w:color="auto"/>
            <w:bottom w:val="none" w:sz="0" w:space="0" w:color="auto"/>
            <w:right w:val="none" w:sz="0" w:space="0" w:color="auto"/>
          </w:divBdr>
          <w:divsChild>
            <w:div w:id="45839834">
              <w:marLeft w:val="0"/>
              <w:marRight w:val="0"/>
              <w:marTop w:val="0"/>
              <w:marBottom w:val="0"/>
              <w:divBdr>
                <w:top w:val="none" w:sz="0" w:space="0" w:color="auto"/>
                <w:left w:val="none" w:sz="0" w:space="0" w:color="auto"/>
                <w:bottom w:val="none" w:sz="0" w:space="0" w:color="auto"/>
                <w:right w:val="none" w:sz="0" w:space="0" w:color="auto"/>
              </w:divBdr>
            </w:div>
            <w:div w:id="1705863119">
              <w:marLeft w:val="0"/>
              <w:marRight w:val="0"/>
              <w:marTop w:val="0"/>
              <w:marBottom w:val="0"/>
              <w:divBdr>
                <w:top w:val="none" w:sz="0" w:space="0" w:color="auto"/>
                <w:left w:val="none" w:sz="0" w:space="0" w:color="auto"/>
                <w:bottom w:val="none" w:sz="0" w:space="0" w:color="auto"/>
                <w:right w:val="none" w:sz="0" w:space="0" w:color="auto"/>
              </w:divBdr>
            </w:div>
          </w:divsChild>
        </w:div>
        <w:div w:id="1959603076">
          <w:marLeft w:val="0"/>
          <w:marRight w:val="0"/>
          <w:marTop w:val="0"/>
          <w:marBottom w:val="0"/>
          <w:divBdr>
            <w:top w:val="none" w:sz="0" w:space="0" w:color="auto"/>
            <w:left w:val="none" w:sz="0" w:space="0" w:color="auto"/>
            <w:bottom w:val="none" w:sz="0" w:space="0" w:color="auto"/>
            <w:right w:val="none" w:sz="0" w:space="0" w:color="auto"/>
          </w:divBdr>
          <w:divsChild>
            <w:div w:id="640886027">
              <w:marLeft w:val="0"/>
              <w:marRight w:val="0"/>
              <w:marTop w:val="0"/>
              <w:marBottom w:val="0"/>
              <w:divBdr>
                <w:top w:val="none" w:sz="0" w:space="0" w:color="auto"/>
                <w:left w:val="none" w:sz="0" w:space="0" w:color="auto"/>
                <w:bottom w:val="none" w:sz="0" w:space="0" w:color="auto"/>
                <w:right w:val="none" w:sz="0" w:space="0" w:color="auto"/>
              </w:divBdr>
            </w:div>
            <w:div w:id="1009215892">
              <w:marLeft w:val="0"/>
              <w:marRight w:val="0"/>
              <w:marTop w:val="0"/>
              <w:marBottom w:val="0"/>
              <w:divBdr>
                <w:top w:val="none" w:sz="0" w:space="0" w:color="auto"/>
                <w:left w:val="none" w:sz="0" w:space="0" w:color="auto"/>
                <w:bottom w:val="none" w:sz="0" w:space="0" w:color="auto"/>
                <w:right w:val="none" w:sz="0" w:space="0" w:color="auto"/>
              </w:divBdr>
            </w:div>
          </w:divsChild>
        </w:div>
        <w:div w:id="1636984300">
          <w:marLeft w:val="0"/>
          <w:marRight w:val="0"/>
          <w:marTop w:val="0"/>
          <w:marBottom w:val="0"/>
          <w:divBdr>
            <w:top w:val="none" w:sz="0" w:space="0" w:color="auto"/>
            <w:left w:val="none" w:sz="0" w:space="0" w:color="auto"/>
            <w:bottom w:val="none" w:sz="0" w:space="0" w:color="auto"/>
            <w:right w:val="none" w:sz="0" w:space="0" w:color="auto"/>
          </w:divBdr>
          <w:divsChild>
            <w:div w:id="1903717111">
              <w:marLeft w:val="0"/>
              <w:marRight w:val="0"/>
              <w:marTop w:val="0"/>
              <w:marBottom w:val="0"/>
              <w:divBdr>
                <w:top w:val="none" w:sz="0" w:space="0" w:color="auto"/>
                <w:left w:val="none" w:sz="0" w:space="0" w:color="auto"/>
                <w:bottom w:val="none" w:sz="0" w:space="0" w:color="auto"/>
                <w:right w:val="none" w:sz="0" w:space="0" w:color="auto"/>
              </w:divBdr>
            </w:div>
            <w:div w:id="898904897">
              <w:marLeft w:val="0"/>
              <w:marRight w:val="0"/>
              <w:marTop w:val="0"/>
              <w:marBottom w:val="0"/>
              <w:divBdr>
                <w:top w:val="none" w:sz="0" w:space="0" w:color="auto"/>
                <w:left w:val="none" w:sz="0" w:space="0" w:color="auto"/>
                <w:bottom w:val="none" w:sz="0" w:space="0" w:color="auto"/>
                <w:right w:val="none" w:sz="0" w:space="0" w:color="auto"/>
              </w:divBdr>
            </w:div>
          </w:divsChild>
        </w:div>
        <w:div w:id="1971544324">
          <w:marLeft w:val="0"/>
          <w:marRight w:val="0"/>
          <w:marTop w:val="0"/>
          <w:marBottom w:val="0"/>
          <w:divBdr>
            <w:top w:val="none" w:sz="0" w:space="0" w:color="auto"/>
            <w:left w:val="none" w:sz="0" w:space="0" w:color="auto"/>
            <w:bottom w:val="none" w:sz="0" w:space="0" w:color="auto"/>
            <w:right w:val="none" w:sz="0" w:space="0" w:color="auto"/>
          </w:divBdr>
          <w:divsChild>
            <w:div w:id="659239514">
              <w:marLeft w:val="0"/>
              <w:marRight w:val="0"/>
              <w:marTop w:val="0"/>
              <w:marBottom w:val="0"/>
              <w:divBdr>
                <w:top w:val="none" w:sz="0" w:space="0" w:color="auto"/>
                <w:left w:val="none" w:sz="0" w:space="0" w:color="auto"/>
                <w:bottom w:val="none" w:sz="0" w:space="0" w:color="auto"/>
                <w:right w:val="none" w:sz="0" w:space="0" w:color="auto"/>
              </w:divBdr>
            </w:div>
            <w:div w:id="1138954364">
              <w:marLeft w:val="0"/>
              <w:marRight w:val="0"/>
              <w:marTop w:val="0"/>
              <w:marBottom w:val="0"/>
              <w:divBdr>
                <w:top w:val="none" w:sz="0" w:space="0" w:color="auto"/>
                <w:left w:val="none" w:sz="0" w:space="0" w:color="auto"/>
                <w:bottom w:val="none" w:sz="0" w:space="0" w:color="auto"/>
                <w:right w:val="none" w:sz="0" w:space="0" w:color="auto"/>
              </w:divBdr>
            </w:div>
          </w:divsChild>
        </w:div>
        <w:div w:id="1465276435">
          <w:marLeft w:val="0"/>
          <w:marRight w:val="0"/>
          <w:marTop w:val="0"/>
          <w:marBottom w:val="0"/>
          <w:divBdr>
            <w:top w:val="none" w:sz="0" w:space="0" w:color="auto"/>
            <w:left w:val="none" w:sz="0" w:space="0" w:color="auto"/>
            <w:bottom w:val="none" w:sz="0" w:space="0" w:color="auto"/>
            <w:right w:val="none" w:sz="0" w:space="0" w:color="auto"/>
          </w:divBdr>
          <w:divsChild>
            <w:div w:id="2125343289">
              <w:marLeft w:val="0"/>
              <w:marRight w:val="0"/>
              <w:marTop w:val="0"/>
              <w:marBottom w:val="0"/>
              <w:divBdr>
                <w:top w:val="none" w:sz="0" w:space="0" w:color="auto"/>
                <w:left w:val="none" w:sz="0" w:space="0" w:color="auto"/>
                <w:bottom w:val="none" w:sz="0" w:space="0" w:color="auto"/>
                <w:right w:val="none" w:sz="0" w:space="0" w:color="auto"/>
              </w:divBdr>
            </w:div>
            <w:div w:id="1194728549">
              <w:marLeft w:val="0"/>
              <w:marRight w:val="0"/>
              <w:marTop w:val="0"/>
              <w:marBottom w:val="0"/>
              <w:divBdr>
                <w:top w:val="none" w:sz="0" w:space="0" w:color="auto"/>
                <w:left w:val="none" w:sz="0" w:space="0" w:color="auto"/>
                <w:bottom w:val="none" w:sz="0" w:space="0" w:color="auto"/>
                <w:right w:val="none" w:sz="0" w:space="0" w:color="auto"/>
              </w:divBdr>
              <w:divsChild>
                <w:div w:id="16138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3497">
          <w:marLeft w:val="0"/>
          <w:marRight w:val="0"/>
          <w:marTop w:val="0"/>
          <w:marBottom w:val="0"/>
          <w:divBdr>
            <w:top w:val="none" w:sz="0" w:space="0" w:color="auto"/>
            <w:left w:val="none" w:sz="0" w:space="0" w:color="auto"/>
            <w:bottom w:val="none" w:sz="0" w:space="0" w:color="auto"/>
            <w:right w:val="none" w:sz="0" w:space="0" w:color="auto"/>
          </w:divBdr>
          <w:divsChild>
            <w:div w:id="100077872">
              <w:marLeft w:val="0"/>
              <w:marRight w:val="0"/>
              <w:marTop w:val="0"/>
              <w:marBottom w:val="0"/>
              <w:divBdr>
                <w:top w:val="none" w:sz="0" w:space="0" w:color="auto"/>
                <w:left w:val="none" w:sz="0" w:space="0" w:color="auto"/>
                <w:bottom w:val="none" w:sz="0" w:space="0" w:color="auto"/>
                <w:right w:val="none" w:sz="0" w:space="0" w:color="auto"/>
              </w:divBdr>
            </w:div>
            <w:div w:id="16888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3651</Characters>
  <Application>Microsoft Office Word</Application>
  <DocSecurity>0</DocSecurity>
  <Lines>30</Lines>
  <Paragraphs>8</Paragraphs>
  <ScaleCrop>false</ScaleCrop>
  <Company>Microsoft</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2020-12-21T07:51:00Z</dcterms:created>
  <dcterms:modified xsi:type="dcterms:W3CDTF">2020-12-21T07:52:00Z</dcterms:modified>
</cp:coreProperties>
</file>